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F0028" w14:textId="39079176" w:rsidR="00415D45" w:rsidRPr="00EE1758" w:rsidRDefault="00415D45">
      <w:pPr>
        <w:spacing w:after="373" w:line="259" w:lineRule="auto"/>
        <w:ind w:left="49" w:right="0" w:firstLine="0"/>
        <w:jc w:val="center"/>
        <w:rPr>
          <w:rFonts w:ascii="Arial" w:hAnsi="Arial" w:cs="Arial"/>
          <w:color w:val="auto"/>
          <w:szCs w:val="20"/>
        </w:rPr>
      </w:pPr>
    </w:p>
    <w:p w14:paraId="6A491ABC" w14:textId="77777777" w:rsidR="009D7DAD" w:rsidRPr="00EE1758" w:rsidRDefault="009D7DAD" w:rsidP="009D7DAD">
      <w:pPr>
        <w:spacing w:after="255" w:line="259" w:lineRule="auto"/>
        <w:ind w:left="0" w:right="28" w:firstLine="0"/>
        <w:jc w:val="center"/>
        <w:rPr>
          <w:rFonts w:ascii="Arial" w:hAnsi="Arial" w:cs="Arial"/>
          <w:color w:val="auto"/>
          <w:szCs w:val="20"/>
        </w:rPr>
      </w:pPr>
      <w:r w:rsidRPr="00EE1758">
        <w:rPr>
          <w:rFonts w:ascii="Arial" w:eastAsia="Calibri" w:hAnsi="Arial" w:cs="Arial"/>
          <w:b/>
          <w:color w:val="auto"/>
          <w:szCs w:val="20"/>
          <w:u w:val="single" w:color="000000"/>
        </w:rPr>
        <w:t>SPECYFIKACJA TECHNICZNA WYKONANIA I ODBIORU ROBOT</w:t>
      </w:r>
      <w:r w:rsidRPr="00EE1758">
        <w:rPr>
          <w:rFonts w:ascii="Arial" w:eastAsia="Calibri" w:hAnsi="Arial" w:cs="Arial"/>
          <w:b/>
          <w:color w:val="auto"/>
          <w:szCs w:val="20"/>
        </w:rPr>
        <w:t xml:space="preserve">  </w:t>
      </w:r>
    </w:p>
    <w:p w14:paraId="11938E51" w14:textId="77777777" w:rsidR="009D7DAD" w:rsidRPr="00EE1758" w:rsidRDefault="009D7DAD" w:rsidP="009D7DAD">
      <w:pPr>
        <w:spacing w:after="15" w:line="259" w:lineRule="auto"/>
        <w:ind w:left="23" w:firstLine="0"/>
        <w:jc w:val="center"/>
        <w:rPr>
          <w:rFonts w:ascii="Arial" w:hAnsi="Arial" w:cs="Arial"/>
          <w:color w:val="auto"/>
          <w:szCs w:val="20"/>
        </w:rPr>
      </w:pPr>
      <w:r w:rsidRPr="00EE1758">
        <w:rPr>
          <w:rFonts w:ascii="Arial" w:eastAsia="Calibri" w:hAnsi="Arial" w:cs="Arial"/>
          <w:b/>
          <w:color w:val="auto"/>
          <w:szCs w:val="20"/>
        </w:rPr>
        <w:t xml:space="preserve"> </w:t>
      </w:r>
    </w:p>
    <w:p w14:paraId="64C7821B" w14:textId="77777777" w:rsidR="009D7DAD" w:rsidRPr="00EE1758" w:rsidRDefault="009D7DAD" w:rsidP="009D7DAD">
      <w:pPr>
        <w:tabs>
          <w:tab w:val="center" w:pos="4536"/>
          <w:tab w:val="left" w:pos="6945"/>
        </w:tabs>
        <w:spacing w:line="360" w:lineRule="auto"/>
        <w:jc w:val="center"/>
        <w:rPr>
          <w:rFonts w:ascii="Arial" w:hAnsi="Arial" w:cs="Arial"/>
          <w:b/>
          <w:bCs/>
          <w:color w:val="auto"/>
          <w:szCs w:val="20"/>
        </w:rPr>
      </w:pPr>
      <w:r w:rsidRPr="00EE1758">
        <w:rPr>
          <w:rFonts w:ascii="Arial" w:eastAsia="Calibri" w:hAnsi="Arial" w:cs="Arial"/>
          <w:color w:val="auto"/>
          <w:szCs w:val="20"/>
        </w:rPr>
        <w:t xml:space="preserve">zadanie </w:t>
      </w:r>
      <w:proofErr w:type="spellStart"/>
      <w:r w:rsidRPr="00EE1758">
        <w:rPr>
          <w:rFonts w:ascii="Arial" w:eastAsia="Calibri" w:hAnsi="Arial" w:cs="Arial"/>
          <w:color w:val="auto"/>
          <w:szCs w:val="20"/>
        </w:rPr>
        <w:t>pn</w:t>
      </w:r>
      <w:proofErr w:type="spellEnd"/>
      <w:r w:rsidRPr="00EE1758">
        <w:rPr>
          <w:rFonts w:ascii="Arial" w:eastAsia="Calibri" w:hAnsi="Arial" w:cs="Arial"/>
          <w:color w:val="auto"/>
          <w:szCs w:val="20"/>
        </w:rPr>
        <w:t xml:space="preserve">: </w:t>
      </w:r>
      <w:r w:rsidRPr="00EE1758">
        <w:rPr>
          <w:rFonts w:ascii="Arial" w:hAnsi="Arial" w:cs="Arial"/>
          <w:b/>
          <w:bCs/>
          <w:color w:val="auto"/>
          <w:szCs w:val="20"/>
        </w:rPr>
        <w:t>„Wykonanie robót budowlanych związanych z remontem, przebudową i budową chodników i placów z kostki brukowej na terenie gminy Mszczonów.”</w:t>
      </w:r>
    </w:p>
    <w:p w14:paraId="54D726FD" w14:textId="77777777" w:rsidR="009D7DAD" w:rsidRPr="00EE1758" w:rsidRDefault="009D7DAD" w:rsidP="009D7DAD">
      <w:pPr>
        <w:tabs>
          <w:tab w:val="center" w:pos="4536"/>
          <w:tab w:val="left" w:pos="6945"/>
        </w:tabs>
        <w:spacing w:line="360" w:lineRule="auto"/>
        <w:jc w:val="center"/>
        <w:rPr>
          <w:rFonts w:ascii="Arial" w:hAnsi="Arial" w:cs="Arial"/>
          <w:b/>
          <w:bCs/>
          <w:color w:val="auto"/>
          <w:szCs w:val="20"/>
        </w:rPr>
      </w:pPr>
    </w:p>
    <w:p w14:paraId="41564285" w14:textId="77777777" w:rsidR="00DF6B3F" w:rsidRPr="00EE1758" w:rsidRDefault="00DF6B3F" w:rsidP="00DF6B3F">
      <w:pPr>
        <w:rPr>
          <w:rFonts w:ascii="Arial" w:hAnsi="Arial" w:cs="Arial"/>
          <w:color w:val="auto"/>
          <w:szCs w:val="20"/>
        </w:rPr>
      </w:pPr>
    </w:p>
    <w:p w14:paraId="0C0E367E" w14:textId="77777777" w:rsidR="00DF6B3F" w:rsidRPr="00EE1758" w:rsidRDefault="00DF6B3F" w:rsidP="00DF6B3F">
      <w:pPr>
        <w:rPr>
          <w:rFonts w:ascii="Arial" w:hAnsi="Arial" w:cs="Arial"/>
          <w:color w:val="auto"/>
          <w:szCs w:val="20"/>
        </w:rPr>
      </w:pPr>
    </w:p>
    <w:p w14:paraId="512F251D" w14:textId="77777777" w:rsidR="00415D45" w:rsidRPr="00EE1758" w:rsidRDefault="009D7DAD">
      <w:pPr>
        <w:spacing w:after="57" w:line="259" w:lineRule="auto"/>
        <w:ind w:left="14" w:right="0" w:firstLine="0"/>
        <w:jc w:val="center"/>
        <w:rPr>
          <w:rFonts w:ascii="Arial" w:hAnsi="Arial" w:cs="Arial"/>
          <w:color w:val="auto"/>
          <w:szCs w:val="20"/>
        </w:rPr>
      </w:pPr>
      <w:r w:rsidRPr="00EE1758">
        <w:rPr>
          <w:rFonts w:ascii="Arial" w:eastAsia="Calibri" w:hAnsi="Arial" w:cs="Arial"/>
          <w:b/>
          <w:color w:val="auto"/>
          <w:szCs w:val="20"/>
        </w:rPr>
        <w:t xml:space="preserve"> </w:t>
      </w:r>
    </w:p>
    <w:p w14:paraId="18AFB24A" w14:textId="119994F4" w:rsidR="00415D45" w:rsidRPr="00EE1758" w:rsidRDefault="009D7DAD">
      <w:pPr>
        <w:pStyle w:val="Nagwek2"/>
        <w:rPr>
          <w:rFonts w:ascii="Arial" w:hAnsi="Arial" w:cs="Arial"/>
          <w:color w:val="auto"/>
          <w:sz w:val="20"/>
          <w:szCs w:val="20"/>
        </w:rPr>
      </w:pPr>
      <w:r w:rsidRPr="00EE1758">
        <w:rPr>
          <w:rFonts w:ascii="Arial" w:hAnsi="Arial" w:cs="Arial"/>
          <w:color w:val="auto"/>
          <w:sz w:val="20"/>
          <w:szCs w:val="20"/>
        </w:rPr>
        <w:t>dot. Remont betonowych obrzeży chodnikowych</w:t>
      </w:r>
    </w:p>
    <w:p w14:paraId="275771D0"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07F7833E" w14:textId="77777777" w:rsidR="00DF6B3F" w:rsidRPr="00EE1758" w:rsidRDefault="00DF6B3F">
      <w:pPr>
        <w:pStyle w:val="Nagwek2"/>
        <w:ind w:right="29"/>
        <w:rPr>
          <w:rFonts w:ascii="Arial" w:hAnsi="Arial" w:cs="Arial"/>
          <w:color w:val="auto"/>
          <w:sz w:val="20"/>
          <w:szCs w:val="20"/>
        </w:rPr>
      </w:pPr>
    </w:p>
    <w:p w14:paraId="01329C81" w14:textId="77777777" w:rsidR="00DF6B3F" w:rsidRPr="00EE1758" w:rsidRDefault="00DF6B3F">
      <w:pPr>
        <w:pStyle w:val="Nagwek2"/>
        <w:ind w:right="29"/>
        <w:rPr>
          <w:rFonts w:ascii="Arial" w:hAnsi="Arial" w:cs="Arial"/>
          <w:color w:val="auto"/>
          <w:sz w:val="20"/>
          <w:szCs w:val="20"/>
        </w:rPr>
      </w:pPr>
    </w:p>
    <w:p w14:paraId="65C1A2B6" w14:textId="77777777" w:rsidR="00DF6B3F" w:rsidRPr="00EE1758" w:rsidRDefault="00DF6B3F">
      <w:pPr>
        <w:pStyle w:val="Nagwek2"/>
        <w:ind w:right="29"/>
        <w:rPr>
          <w:rFonts w:ascii="Arial" w:hAnsi="Arial" w:cs="Arial"/>
          <w:color w:val="auto"/>
          <w:sz w:val="20"/>
          <w:szCs w:val="20"/>
        </w:rPr>
      </w:pPr>
    </w:p>
    <w:p w14:paraId="7CF29FFA" w14:textId="508C15A4" w:rsidR="00415D45" w:rsidRPr="00EE1758" w:rsidRDefault="00415D45">
      <w:pPr>
        <w:spacing w:after="0" w:line="259" w:lineRule="auto"/>
        <w:ind w:left="14" w:right="0" w:firstLine="0"/>
        <w:jc w:val="center"/>
        <w:rPr>
          <w:rFonts w:ascii="Arial" w:hAnsi="Arial" w:cs="Arial"/>
          <w:color w:val="auto"/>
          <w:szCs w:val="20"/>
        </w:rPr>
      </w:pPr>
    </w:p>
    <w:p w14:paraId="02F02592" w14:textId="77777777" w:rsidR="00415D45" w:rsidRPr="00EE1758" w:rsidRDefault="009D7DAD">
      <w:pPr>
        <w:spacing w:after="0" w:line="259" w:lineRule="auto"/>
        <w:ind w:left="14" w:right="0" w:firstLine="0"/>
        <w:jc w:val="center"/>
        <w:rPr>
          <w:rFonts w:ascii="Arial" w:hAnsi="Arial" w:cs="Arial"/>
          <w:color w:val="auto"/>
          <w:szCs w:val="20"/>
        </w:rPr>
      </w:pPr>
      <w:r w:rsidRPr="00EE1758">
        <w:rPr>
          <w:rFonts w:ascii="Arial" w:eastAsia="Calibri" w:hAnsi="Arial" w:cs="Arial"/>
          <w:b/>
          <w:color w:val="auto"/>
          <w:szCs w:val="20"/>
        </w:rPr>
        <w:t xml:space="preserve"> </w:t>
      </w:r>
    </w:p>
    <w:p w14:paraId="05507126" w14:textId="3D729334" w:rsidR="00415D45" w:rsidRPr="00EE1758" w:rsidRDefault="00415D45">
      <w:pPr>
        <w:spacing w:after="0" w:line="259" w:lineRule="auto"/>
        <w:ind w:left="14" w:right="0" w:firstLine="0"/>
        <w:jc w:val="center"/>
        <w:rPr>
          <w:rFonts w:ascii="Arial" w:hAnsi="Arial" w:cs="Arial"/>
          <w:color w:val="auto"/>
          <w:szCs w:val="20"/>
        </w:rPr>
      </w:pPr>
    </w:p>
    <w:p w14:paraId="7A11848F"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0D176647"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55BB5CE0"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0FE6E83A"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2867AD4C"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2C70073D"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60D285B3"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07601C5E"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0D2CEAB0"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0F341FAF"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eastAsia="Calibri" w:hAnsi="Arial" w:cs="Arial"/>
          <w:color w:val="auto"/>
          <w:szCs w:val="20"/>
        </w:rPr>
        <w:t xml:space="preserve"> </w:t>
      </w:r>
    </w:p>
    <w:p w14:paraId="35216273" w14:textId="184D3AAB" w:rsidR="00415D45" w:rsidRPr="00EE1758" w:rsidRDefault="009D7DAD" w:rsidP="00DF6B3F">
      <w:pPr>
        <w:spacing w:after="0" w:line="259" w:lineRule="auto"/>
        <w:ind w:left="0" w:right="0" w:firstLine="0"/>
        <w:jc w:val="left"/>
        <w:rPr>
          <w:rFonts w:ascii="Arial" w:eastAsia="Calibri" w:hAnsi="Arial" w:cs="Arial"/>
          <w:color w:val="auto"/>
          <w:szCs w:val="20"/>
        </w:rPr>
      </w:pPr>
      <w:r w:rsidRPr="00EE1758">
        <w:rPr>
          <w:rFonts w:ascii="Arial" w:eastAsia="Calibri" w:hAnsi="Arial" w:cs="Arial"/>
          <w:color w:val="auto"/>
          <w:szCs w:val="20"/>
        </w:rPr>
        <w:t xml:space="preserve"> </w:t>
      </w:r>
    </w:p>
    <w:p w14:paraId="0B42FD4E"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1F2D2F7B"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7E4758C9"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5702DDBC"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6114E595"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35CECBD6"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06B25ADF"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69394CC9"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7C4D8697"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0EB8AF60"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74553D40"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12826D09"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2A8D8654"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165559A4"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76AA0AEA" w14:textId="77777777" w:rsidR="00DF6B3F" w:rsidRPr="00EE1758" w:rsidRDefault="00DF6B3F" w:rsidP="00DF6B3F">
      <w:pPr>
        <w:spacing w:after="0" w:line="259" w:lineRule="auto"/>
        <w:ind w:left="0" w:right="0" w:firstLine="0"/>
        <w:jc w:val="left"/>
        <w:rPr>
          <w:rFonts w:ascii="Arial" w:eastAsia="Calibri" w:hAnsi="Arial" w:cs="Arial"/>
          <w:color w:val="auto"/>
          <w:szCs w:val="20"/>
        </w:rPr>
      </w:pPr>
    </w:p>
    <w:p w14:paraId="4AAD8A15" w14:textId="77777777" w:rsidR="009D7DAD" w:rsidRPr="00EE1758" w:rsidRDefault="009D7DAD" w:rsidP="00DF6B3F">
      <w:pPr>
        <w:spacing w:after="0" w:line="259" w:lineRule="auto"/>
        <w:ind w:left="0" w:right="0" w:firstLine="0"/>
        <w:jc w:val="left"/>
        <w:rPr>
          <w:rFonts w:ascii="Arial" w:eastAsia="Calibri" w:hAnsi="Arial" w:cs="Arial"/>
          <w:color w:val="auto"/>
          <w:szCs w:val="20"/>
        </w:rPr>
      </w:pPr>
    </w:p>
    <w:p w14:paraId="06A3ED81" w14:textId="77777777" w:rsidR="009D7DAD" w:rsidRPr="00EE1758" w:rsidRDefault="009D7DAD" w:rsidP="00DF6B3F">
      <w:pPr>
        <w:spacing w:after="0" w:line="259" w:lineRule="auto"/>
        <w:ind w:left="0" w:right="0" w:firstLine="0"/>
        <w:jc w:val="left"/>
        <w:rPr>
          <w:rFonts w:ascii="Arial" w:eastAsia="Calibri" w:hAnsi="Arial" w:cs="Arial"/>
          <w:color w:val="auto"/>
          <w:szCs w:val="20"/>
        </w:rPr>
      </w:pPr>
    </w:p>
    <w:p w14:paraId="44BDADBF" w14:textId="77777777" w:rsidR="009D7DAD" w:rsidRPr="00EE1758" w:rsidRDefault="009D7DAD" w:rsidP="00DF6B3F">
      <w:pPr>
        <w:spacing w:after="0" w:line="259" w:lineRule="auto"/>
        <w:ind w:left="0" w:right="0" w:firstLine="0"/>
        <w:jc w:val="left"/>
        <w:rPr>
          <w:rFonts w:ascii="Arial" w:eastAsia="Calibri" w:hAnsi="Arial" w:cs="Arial"/>
          <w:color w:val="auto"/>
          <w:szCs w:val="20"/>
        </w:rPr>
      </w:pPr>
    </w:p>
    <w:p w14:paraId="34B9D8A4" w14:textId="77777777" w:rsidR="009D7DAD" w:rsidRPr="00EE1758" w:rsidRDefault="009D7DAD" w:rsidP="00DF6B3F">
      <w:pPr>
        <w:spacing w:after="0" w:line="259" w:lineRule="auto"/>
        <w:ind w:left="0" w:right="0" w:firstLine="0"/>
        <w:jc w:val="left"/>
        <w:rPr>
          <w:rFonts w:ascii="Arial" w:eastAsia="Calibri" w:hAnsi="Arial" w:cs="Arial"/>
          <w:color w:val="auto"/>
          <w:szCs w:val="20"/>
        </w:rPr>
      </w:pPr>
    </w:p>
    <w:p w14:paraId="47885414" w14:textId="77777777" w:rsidR="009D7DAD" w:rsidRPr="00EE1758" w:rsidRDefault="009D7DAD" w:rsidP="00DF6B3F">
      <w:pPr>
        <w:spacing w:after="0" w:line="259" w:lineRule="auto"/>
        <w:ind w:left="0" w:right="0" w:firstLine="0"/>
        <w:jc w:val="left"/>
        <w:rPr>
          <w:rFonts w:ascii="Arial" w:eastAsia="Calibri" w:hAnsi="Arial" w:cs="Arial"/>
          <w:color w:val="auto"/>
          <w:szCs w:val="20"/>
        </w:rPr>
      </w:pPr>
    </w:p>
    <w:p w14:paraId="467F6C9D" w14:textId="77777777" w:rsidR="00DF6B3F" w:rsidRPr="00EE1758" w:rsidRDefault="00DF6B3F" w:rsidP="00DF6B3F">
      <w:pPr>
        <w:spacing w:after="0" w:line="259" w:lineRule="auto"/>
        <w:ind w:left="0" w:right="0" w:firstLine="0"/>
        <w:jc w:val="left"/>
        <w:rPr>
          <w:rFonts w:ascii="Arial" w:hAnsi="Arial" w:cs="Arial"/>
          <w:color w:val="auto"/>
          <w:szCs w:val="20"/>
        </w:rPr>
      </w:pPr>
    </w:p>
    <w:p w14:paraId="5CCAB1CA" w14:textId="77777777" w:rsidR="00415D45" w:rsidRPr="00EE1758" w:rsidRDefault="009D7DAD">
      <w:pPr>
        <w:pStyle w:val="Nagwek3"/>
        <w:spacing w:after="104"/>
        <w:ind w:left="-5"/>
        <w:rPr>
          <w:rFonts w:ascii="Arial" w:hAnsi="Arial" w:cs="Arial"/>
          <w:color w:val="auto"/>
          <w:szCs w:val="20"/>
        </w:rPr>
      </w:pPr>
      <w:r w:rsidRPr="00EE1758">
        <w:rPr>
          <w:rFonts w:ascii="Arial" w:hAnsi="Arial" w:cs="Arial"/>
          <w:color w:val="auto"/>
          <w:szCs w:val="20"/>
        </w:rPr>
        <w:t xml:space="preserve">1. WSTĘP </w:t>
      </w:r>
    </w:p>
    <w:p w14:paraId="67136E51"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1.1. Przedmiot ST </w:t>
      </w:r>
    </w:p>
    <w:p w14:paraId="6F7C14C1" w14:textId="6DC26F28" w:rsidR="00415D45" w:rsidRPr="00EE1758" w:rsidRDefault="009D7DAD">
      <w:pPr>
        <w:spacing w:after="111"/>
        <w:ind w:left="-15" w:right="40" w:firstLine="283"/>
        <w:rPr>
          <w:rFonts w:ascii="Arial" w:hAnsi="Arial" w:cs="Arial"/>
          <w:color w:val="auto"/>
          <w:szCs w:val="20"/>
        </w:rPr>
      </w:pPr>
      <w:r w:rsidRPr="00EE1758">
        <w:rPr>
          <w:rFonts w:ascii="Arial" w:hAnsi="Arial" w:cs="Arial"/>
          <w:color w:val="auto"/>
          <w:szCs w:val="20"/>
        </w:rPr>
        <w:t>Przedmiotem niniejszej specyfikacji technicznej (ST) są wymagania dotyczące wykonania i odbioru robót związanych z remontem betonowych obrzeży chodnikowych w ramach zadania pn. „</w:t>
      </w:r>
      <w:r w:rsidRPr="00EE1758">
        <w:rPr>
          <w:rFonts w:ascii="Arial" w:hAnsi="Arial" w:cs="Arial"/>
          <w:b/>
          <w:bCs/>
          <w:color w:val="auto"/>
          <w:szCs w:val="20"/>
        </w:rPr>
        <w:t xml:space="preserve">Wykonanie robót </w:t>
      </w:r>
      <w:r w:rsidRPr="00EE1758">
        <w:rPr>
          <w:rFonts w:ascii="Arial" w:hAnsi="Arial" w:cs="Arial"/>
          <w:b/>
          <w:bCs/>
          <w:color w:val="auto"/>
          <w:szCs w:val="20"/>
        </w:rPr>
        <w:lastRenderedPageBreak/>
        <w:t>budowlanych związanych z remontem, przebudową i budową chodników i placów z kostki brukowej na terenie gminy Mszczonów.</w:t>
      </w:r>
      <w:r w:rsidRPr="00EE1758">
        <w:rPr>
          <w:rFonts w:ascii="Arial" w:hAnsi="Arial" w:cs="Arial"/>
          <w:color w:val="auto"/>
          <w:szCs w:val="20"/>
        </w:rPr>
        <w:t>”</w:t>
      </w:r>
    </w:p>
    <w:p w14:paraId="06352F92" w14:textId="77777777" w:rsidR="00415D45" w:rsidRPr="00EE1758" w:rsidRDefault="009D7DAD">
      <w:pPr>
        <w:pStyle w:val="Nagwek4"/>
        <w:spacing w:after="101"/>
        <w:ind w:left="-5"/>
        <w:rPr>
          <w:rFonts w:ascii="Arial" w:hAnsi="Arial" w:cs="Arial"/>
          <w:color w:val="auto"/>
          <w:szCs w:val="20"/>
        </w:rPr>
      </w:pPr>
      <w:r w:rsidRPr="00EE1758">
        <w:rPr>
          <w:rFonts w:ascii="Arial" w:hAnsi="Arial" w:cs="Arial"/>
          <w:color w:val="auto"/>
          <w:szCs w:val="20"/>
        </w:rPr>
        <w:t xml:space="preserve">1.2. Zakres stosowania ST </w:t>
      </w:r>
    </w:p>
    <w:p w14:paraId="416EA677" w14:textId="5D6DF2D9" w:rsidR="00415D45" w:rsidRPr="00EE1758" w:rsidRDefault="009D7DAD">
      <w:pPr>
        <w:ind w:left="-15" w:right="40" w:firstLine="283"/>
        <w:rPr>
          <w:rFonts w:ascii="Arial" w:hAnsi="Arial" w:cs="Arial"/>
          <w:color w:val="auto"/>
          <w:szCs w:val="20"/>
        </w:rPr>
      </w:pPr>
      <w:r w:rsidRPr="00EE1758">
        <w:rPr>
          <w:rFonts w:ascii="Arial" w:hAnsi="Arial" w:cs="Arial"/>
          <w:color w:val="auto"/>
          <w:szCs w:val="20"/>
        </w:rPr>
        <w:t xml:space="preserve">Specyfikacja techniczna </w:t>
      </w:r>
      <w:r w:rsidR="00DF6B3F" w:rsidRPr="00EE1758">
        <w:rPr>
          <w:rFonts w:ascii="Arial" w:hAnsi="Arial" w:cs="Arial"/>
          <w:color w:val="auto"/>
          <w:szCs w:val="20"/>
        </w:rPr>
        <w:t>wykonania i odbioru robót</w:t>
      </w:r>
      <w:r w:rsidRPr="00EE1758">
        <w:rPr>
          <w:rFonts w:ascii="Arial" w:hAnsi="Arial" w:cs="Arial"/>
          <w:color w:val="auto"/>
          <w:szCs w:val="20"/>
        </w:rPr>
        <w:t xml:space="preserve"> stosowana jest jako dokument przetargowy  i kontraktowy przy zlecaniu i realizacji robót na  ulicach i placach. </w:t>
      </w:r>
    </w:p>
    <w:p w14:paraId="4CF5066F"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1.3. Zakres robót objętych ST </w:t>
      </w:r>
    </w:p>
    <w:p w14:paraId="6F04BD0B" w14:textId="77777777" w:rsidR="00415D45" w:rsidRPr="00EE1758" w:rsidRDefault="009D7DAD">
      <w:pPr>
        <w:ind w:left="-15" w:right="40" w:firstLine="283"/>
        <w:rPr>
          <w:rFonts w:ascii="Arial" w:hAnsi="Arial" w:cs="Arial"/>
          <w:color w:val="auto"/>
          <w:szCs w:val="20"/>
        </w:rPr>
      </w:pPr>
      <w:r w:rsidRPr="00EE1758">
        <w:rPr>
          <w:rFonts w:ascii="Arial" w:hAnsi="Arial" w:cs="Arial"/>
          <w:color w:val="auto"/>
          <w:szCs w:val="20"/>
        </w:rPr>
        <w:t xml:space="preserve">Ustalenia zawarte w niniejszej specyfikacji dotyczą zasad prowadzenia robót związanych z wykonaniem i odbiorem remontu cząstkowego betonowych obrzeży chodnikowych, polegającego na naprawie uszkodzeń powstałych na określonej długości obrzeża, metodą jego przestawienia. </w:t>
      </w:r>
    </w:p>
    <w:p w14:paraId="23D53E57"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1.4. Określenia podstawowe </w:t>
      </w:r>
    </w:p>
    <w:p w14:paraId="46C56673"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1.4.1. </w:t>
      </w:r>
      <w:r w:rsidRPr="00EE1758">
        <w:rPr>
          <w:rFonts w:ascii="Arial" w:hAnsi="Arial" w:cs="Arial"/>
          <w:color w:val="auto"/>
          <w:szCs w:val="20"/>
        </w:rPr>
        <w:t xml:space="preserve">Obrzeże chodnikowe - prefabrykowane belki betonowe rozgraniczające jednostronnie lub dwustronnie ciągi komunikacyjne od terenów nie przeznaczonych do komunikacji. </w:t>
      </w:r>
    </w:p>
    <w:p w14:paraId="1DF81143"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1.4.2. </w:t>
      </w:r>
      <w:r w:rsidRPr="00EE1758">
        <w:rPr>
          <w:rFonts w:ascii="Arial" w:hAnsi="Arial" w:cs="Arial"/>
          <w:color w:val="auto"/>
          <w:szCs w:val="20"/>
        </w:rPr>
        <w:t xml:space="preserve">Remont cząstkowy betonowego obrzeża chodnikowego - naprawa pojedynczych uszkodzeń ciągów obrzeża o długości do około 10 m, metodą ich przestawienia. </w:t>
      </w:r>
    </w:p>
    <w:p w14:paraId="50BAF5C1"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1.4.3. </w:t>
      </w:r>
      <w:r w:rsidRPr="00EE1758">
        <w:rPr>
          <w:rFonts w:ascii="Arial" w:hAnsi="Arial" w:cs="Arial"/>
          <w:color w:val="auto"/>
          <w:szCs w:val="20"/>
        </w:rPr>
        <w:t xml:space="preserve">Spoina - odstęp pomiędzy przylegającymi elementami (obrzeżami), wypełniony określonym materiałem wypełniającym. </w:t>
      </w:r>
    </w:p>
    <w:p w14:paraId="2F72D2B8"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1.4.4.</w:t>
      </w:r>
      <w:r w:rsidRPr="00EE1758">
        <w:rPr>
          <w:rFonts w:ascii="Arial" w:hAnsi="Arial" w:cs="Arial"/>
          <w:color w:val="auto"/>
          <w:szCs w:val="20"/>
        </w:rPr>
        <w:t xml:space="preserve"> Pozostałe określenia podstawowe są zgodne z obowiązującymi, odpowiednimi polskimi normami i z definicjami podanymi w OST D-M-00.00.00 „Wymagania ogólne” [1] pkt 1.4.  </w:t>
      </w:r>
    </w:p>
    <w:p w14:paraId="630A9C02" w14:textId="77777777" w:rsidR="00415D45" w:rsidRPr="00EE1758" w:rsidRDefault="009D7DAD">
      <w:pPr>
        <w:spacing w:after="142" w:line="259" w:lineRule="auto"/>
        <w:ind w:left="-5" w:right="0"/>
        <w:jc w:val="left"/>
        <w:rPr>
          <w:rFonts w:ascii="Arial" w:hAnsi="Arial" w:cs="Arial"/>
          <w:color w:val="auto"/>
          <w:szCs w:val="20"/>
        </w:rPr>
      </w:pPr>
      <w:r w:rsidRPr="00EE1758">
        <w:rPr>
          <w:rFonts w:ascii="Arial" w:hAnsi="Arial" w:cs="Arial"/>
          <w:b/>
          <w:color w:val="auto"/>
          <w:szCs w:val="20"/>
        </w:rPr>
        <w:t xml:space="preserve">1.5. Ogólne wymagania dotyczące robót  </w:t>
      </w:r>
    </w:p>
    <w:p w14:paraId="42318F73" w14:textId="02590852" w:rsidR="003A35DC" w:rsidRPr="00EE1758" w:rsidRDefault="009D7DAD" w:rsidP="003A35DC">
      <w:pPr>
        <w:spacing w:after="232"/>
        <w:ind w:left="293" w:right="40"/>
        <w:rPr>
          <w:rFonts w:ascii="Arial" w:hAnsi="Arial" w:cs="Arial"/>
          <w:color w:val="auto"/>
          <w:szCs w:val="20"/>
        </w:rPr>
      </w:pPr>
      <w:r w:rsidRPr="00EE1758">
        <w:rPr>
          <w:rFonts w:ascii="Arial" w:hAnsi="Arial" w:cs="Arial"/>
          <w:color w:val="auto"/>
          <w:szCs w:val="20"/>
        </w:rPr>
        <w:t>Ogólne wymagania dotyczące robót</w:t>
      </w:r>
      <w:r w:rsidR="003A35DC" w:rsidRPr="00EE1758">
        <w:rPr>
          <w:rFonts w:ascii="Arial" w:hAnsi="Arial" w:cs="Arial"/>
          <w:color w:val="auto"/>
          <w:szCs w:val="20"/>
        </w:rPr>
        <w:t>, jeżeli nie podano w niniejszej specyfikacji  należy przyjąć zgodnie z zapisami pozostałych specyfikacji zamieszczonych do niniejszego postępowania..</w:t>
      </w:r>
    </w:p>
    <w:p w14:paraId="5FC2EE33" w14:textId="45394C51" w:rsidR="00415D45" w:rsidRPr="00EE1758" w:rsidRDefault="009D7DAD" w:rsidP="003A35DC">
      <w:pPr>
        <w:spacing w:after="232"/>
        <w:ind w:left="0" w:right="40" w:firstLine="0"/>
        <w:rPr>
          <w:rFonts w:ascii="Arial" w:hAnsi="Arial" w:cs="Arial"/>
          <w:color w:val="auto"/>
          <w:szCs w:val="20"/>
        </w:rPr>
      </w:pPr>
      <w:r w:rsidRPr="00EE1758">
        <w:rPr>
          <w:rFonts w:ascii="Arial" w:hAnsi="Arial" w:cs="Arial"/>
          <w:color w:val="auto"/>
          <w:szCs w:val="20"/>
        </w:rPr>
        <w:t xml:space="preserve">2. MATERIAŁY </w:t>
      </w:r>
    </w:p>
    <w:p w14:paraId="5438FCD5"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2.1. Ogólne wymagania dotyczące materiałów </w:t>
      </w:r>
    </w:p>
    <w:p w14:paraId="29485D35" w14:textId="2E81AD4C" w:rsidR="00415D45" w:rsidRPr="00EE1758" w:rsidRDefault="009D7DAD">
      <w:pPr>
        <w:spacing w:after="114"/>
        <w:ind w:left="-15" w:right="40" w:firstLine="283"/>
        <w:rPr>
          <w:rFonts w:ascii="Arial" w:hAnsi="Arial" w:cs="Arial"/>
          <w:color w:val="auto"/>
          <w:szCs w:val="20"/>
        </w:rPr>
      </w:pPr>
      <w:r w:rsidRPr="00EE1758">
        <w:rPr>
          <w:rFonts w:ascii="Arial" w:hAnsi="Arial" w:cs="Arial"/>
          <w:color w:val="auto"/>
          <w:szCs w:val="20"/>
        </w:rPr>
        <w:t>Ogólne wymagania dotyczące materiałów, ich pozyskiwania i składowania,</w:t>
      </w:r>
      <w:r w:rsidR="003A35DC" w:rsidRPr="00EE1758">
        <w:rPr>
          <w:rFonts w:ascii="Arial" w:hAnsi="Arial" w:cs="Arial"/>
          <w:color w:val="auto"/>
          <w:szCs w:val="20"/>
        </w:rPr>
        <w:t xml:space="preserve"> jeżeli nie podano w niniejszej specyfikacji  należy przyjąć zgodnie z zapisami pozostałych specyfikacji zamieszczonych do niniejszego postępowania.</w:t>
      </w:r>
    </w:p>
    <w:p w14:paraId="582C8E53"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2.2. Materiały do wykonania robót </w:t>
      </w:r>
    </w:p>
    <w:p w14:paraId="405CD859"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2.2.1. </w:t>
      </w:r>
      <w:r w:rsidRPr="00EE1758">
        <w:rPr>
          <w:rFonts w:ascii="Arial" w:hAnsi="Arial" w:cs="Arial"/>
          <w:color w:val="auto"/>
          <w:szCs w:val="20"/>
        </w:rPr>
        <w:t xml:space="preserve">Zgodność materiałów z dokumentacją projektową </w:t>
      </w:r>
    </w:p>
    <w:p w14:paraId="44E4B223" w14:textId="77777777" w:rsidR="00415D45" w:rsidRPr="00EE1758" w:rsidRDefault="009D7DAD">
      <w:pPr>
        <w:ind w:left="293" w:right="40"/>
        <w:rPr>
          <w:rFonts w:ascii="Arial" w:hAnsi="Arial" w:cs="Arial"/>
          <w:color w:val="auto"/>
          <w:szCs w:val="20"/>
        </w:rPr>
      </w:pPr>
      <w:r w:rsidRPr="00EE1758">
        <w:rPr>
          <w:rFonts w:ascii="Arial" w:hAnsi="Arial" w:cs="Arial"/>
          <w:color w:val="auto"/>
          <w:szCs w:val="20"/>
        </w:rPr>
        <w:t xml:space="preserve">Materiały do wykonania robót powinny być zgodne z ustaleniami dokumentacji projektowej lub ST. </w:t>
      </w:r>
    </w:p>
    <w:p w14:paraId="1492C075"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2.2.2. </w:t>
      </w:r>
      <w:r w:rsidRPr="00EE1758">
        <w:rPr>
          <w:rFonts w:ascii="Arial" w:hAnsi="Arial" w:cs="Arial"/>
          <w:color w:val="auto"/>
          <w:szCs w:val="20"/>
        </w:rPr>
        <w:t xml:space="preserve">Betonowe obrzeża chodnikowe </w:t>
      </w:r>
    </w:p>
    <w:p w14:paraId="5CEE16E1" w14:textId="77777777" w:rsidR="00415D45" w:rsidRPr="00EE1758" w:rsidRDefault="009D7DAD">
      <w:pPr>
        <w:spacing w:after="40"/>
        <w:ind w:left="293" w:right="40"/>
        <w:rPr>
          <w:rFonts w:ascii="Arial" w:hAnsi="Arial" w:cs="Arial"/>
          <w:color w:val="auto"/>
          <w:szCs w:val="20"/>
        </w:rPr>
      </w:pPr>
      <w:r w:rsidRPr="00EE1758">
        <w:rPr>
          <w:rFonts w:ascii="Arial" w:hAnsi="Arial" w:cs="Arial"/>
          <w:color w:val="auto"/>
          <w:szCs w:val="20"/>
        </w:rPr>
        <w:t xml:space="preserve">Do remontu cząstkowego (przestawienia) betonowych obrzeży chodnikowych należy użyć: </w:t>
      </w:r>
    </w:p>
    <w:p w14:paraId="34F08F6E" w14:textId="77777777" w:rsidR="00415D45" w:rsidRPr="00EE1758" w:rsidRDefault="009D7DAD">
      <w:pPr>
        <w:spacing w:after="9"/>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obrzeża, uzyskane z rozbiórki, nadające się do ponownego wbudowania, </w:t>
      </w:r>
    </w:p>
    <w:p w14:paraId="0BBB32B3" w14:textId="78089B5A" w:rsidR="00415D45" w:rsidRPr="00EE1758" w:rsidRDefault="009D7DAD">
      <w:pPr>
        <w:ind w:left="268" w:right="40" w:hanging="283"/>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nowe obrzeża, odpowiadające wymaganiom</w:t>
      </w:r>
      <w:r w:rsidR="008308B5" w:rsidRPr="00EE1758">
        <w:rPr>
          <w:rFonts w:ascii="Arial" w:hAnsi="Arial" w:cs="Arial"/>
          <w:color w:val="auto"/>
          <w:szCs w:val="20"/>
        </w:rPr>
        <w:t xml:space="preserve">, </w:t>
      </w:r>
      <w:r w:rsidRPr="00EE1758">
        <w:rPr>
          <w:rFonts w:ascii="Arial" w:hAnsi="Arial" w:cs="Arial"/>
          <w:color w:val="auto"/>
          <w:szCs w:val="20"/>
        </w:rPr>
        <w:t xml:space="preserve">jako materiał zastępujący istniejące obrzeża uszkodzone, o analogicznych wymiarach, kształcie i wyglądzie, </w:t>
      </w:r>
    </w:p>
    <w:p w14:paraId="2794B84C"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2.2.3. </w:t>
      </w:r>
      <w:r w:rsidRPr="00EE1758">
        <w:rPr>
          <w:rFonts w:ascii="Arial" w:hAnsi="Arial" w:cs="Arial"/>
          <w:color w:val="auto"/>
          <w:szCs w:val="20"/>
        </w:rPr>
        <w:t xml:space="preserve">Materiały na podsypkę i do wypełnienia spoin </w:t>
      </w:r>
    </w:p>
    <w:p w14:paraId="5DD57AA2" w14:textId="0BCD4E02" w:rsidR="00790340" w:rsidRPr="00EE1758" w:rsidRDefault="00790340" w:rsidP="00790340">
      <w:pPr>
        <w:spacing w:after="3"/>
        <w:ind w:left="-5" w:right="40"/>
        <w:rPr>
          <w:rFonts w:ascii="Arial" w:hAnsi="Arial" w:cs="Arial"/>
          <w:color w:val="auto"/>
          <w:szCs w:val="20"/>
        </w:rPr>
      </w:pPr>
      <w:r w:rsidRPr="00EE1758">
        <w:rPr>
          <w:rFonts w:ascii="Arial" w:hAnsi="Arial" w:cs="Arial"/>
          <w:color w:val="auto"/>
          <w:szCs w:val="20"/>
        </w:rPr>
        <w:t xml:space="preserve">Jeśli dokumentacja zamówienia, </w:t>
      </w:r>
      <w:proofErr w:type="spellStart"/>
      <w:r w:rsidRPr="00EE1758">
        <w:rPr>
          <w:rFonts w:ascii="Arial" w:hAnsi="Arial" w:cs="Arial"/>
          <w:color w:val="auto"/>
          <w:szCs w:val="20"/>
        </w:rPr>
        <w:t>STWiOR</w:t>
      </w:r>
      <w:proofErr w:type="spellEnd"/>
      <w:r w:rsidRPr="00EE1758">
        <w:rPr>
          <w:rFonts w:ascii="Arial" w:hAnsi="Arial" w:cs="Arial"/>
          <w:color w:val="auto"/>
          <w:szCs w:val="20"/>
        </w:rPr>
        <w:t xml:space="preserve"> lub wymagania zamawiającego nie ustalają inaczej, to można stosować następujące materiały, odpowiadające wymaganiom specyfikacji :</w:t>
      </w:r>
    </w:p>
    <w:p w14:paraId="64B2C4C7" w14:textId="77777777" w:rsidR="00790340" w:rsidRPr="00EE1758" w:rsidRDefault="00790340" w:rsidP="00790340">
      <w:pPr>
        <w:spacing w:after="3"/>
        <w:ind w:left="-5" w:right="40"/>
        <w:rPr>
          <w:rFonts w:ascii="Arial" w:hAnsi="Arial" w:cs="Arial"/>
          <w:color w:val="auto"/>
          <w:szCs w:val="20"/>
        </w:rPr>
      </w:pPr>
    </w:p>
    <w:p w14:paraId="31BC63CA" w14:textId="77777777" w:rsidR="00415D45" w:rsidRPr="00EE1758" w:rsidRDefault="009D7DAD">
      <w:pPr>
        <w:spacing w:after="3"/>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piasek na podsypkę i do zapraw, </w:t>
      </w:r>
    </w:p>
    <w:p w14:paraId="234D0B36" w14:textId="77777777" w:rsidR="00415D45" w:rsidRPr="00EE1758" w:rsidRDefault="009D7DAD">
      <w:pPr>
        <w:spacing w:after="3"/>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cement do podsypki i zapraw, </w:t>
      </w:r>
    </w:p>
    <w:p w14:paraId="5DB3CD63" w14:textId="77777777" w:rsidR="00415D45" w:rsidRPr="00EE1758" w:rsidRDefault="009D7DAD">
      <w:pPr>
        <w:spacing w:after="9"/>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wodę, </w:t>
      </w:r>
    </w:p>
    <w:p w14:paraId="55DB46B3" w14:textId="77777777" w:rsidR="00415D45" w:rsidRPr="00EE1758" w:rsidRDefault="009D7DAD">
      <w:pPr>
        <w:spacing w:after="237"/>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ewentualne materiały do remontu ławy pod obrzeżem (np. żwir). </w:t>
      </w:r>
    </w:p>
    <w:p w14:paraId="583424E8" w14:textId="77777777" w:rsidR="00415D45" w:rsidRPr="00EE1758" w:rsidRDefault="009D7DAD">
      <w:pPr>
        <w:pStyle w:val="Nagwek3"/>
        <w:ind w:left="-5"/>
        <w:rPr>
          <w:rFonts w:ascii="Arial" w:hAnsi="Arial" w:cs="Arial"/>
          <w:color w:val="auto"/>
          <w:szCs w:val="20"/>
        </w:rPr>
      </w:pPr>
      <w:r w:rsidRPr="00EE1758">
        <w:rPr>
          <w:rFonts w:ascii="Arial" w:hAnsi="Arial" w:cs="Arial"/>
          <w:color w:val="auto"/>
          <w:szCs w:val="20"/>
        </w:rPr>
        <w:t xml:space="preserve">3. SPRZĘT </w:t>
      </w:r>
    </w:p>
    <w:p w14:paraId="6378B6FD" w14:textId="77777777" w:rsidR="00415D45" w:rsidRPr="00EE1758" w:rsidRDefault="009D7DAD">
      <w:pPr>
        <w:spacing w:after="142" w:line="259" w:lineRule="auto"/>
        <w:ind w:left="-5" w:right="0"/>
        <w:jc w:val="left"/>
        <w:rPr>
          <w:rFonts w:ascii="Arial" w:hAnsi="Arial" w:cs="Arial"/>
          <w:color w:val="auto"/>
          <w:szCs w:val="20"/>
        </w:rPr>
      </w:pPr>
      <w:r w:rsidRPr="00EE1758">
        <w:rPr>
          <w:rFonts w:ascii="Arial" w:hAnsi="Arial" w:cs="Arial"/>
          <w:b/>
          <w:color w:val="auto"/>
          <w:szCs w:val="20"/>
        </w:rPr>
        <w:t xml:space="preserve">3.1. Ogólne wymagania dotyczące sprzętu </w:t>
      </w:r>
    </w:p>
    <w:p w14:paraId="2910F887" w14:textId="1D28EEE6" w:rsidR="00415D45" w:rsidRPr="00EE1758" w:rsidRDefault="009D7DAD">
      <w:pPr>
        <w:ind w:left="293" w:right="40"/>
        <w:rPr>
          <w:rFonts w:ascii="Arial" w:hAnsi="Arial" w:cs="Arial"/>
          <w:color w:val="auto"/>
          <w:szCs w:val="20"/>
        </w:rPr>
      </w:pPr>
      <w:r w:rsidRPr="00EE1758">
        <w:rPr>
          <w:rFonts w:ascii="Arial" w:hAnsi="Arial" w:cs="Arial"/>
          <w:color w:val="auto"/>
          <w:szCs w:val="20"/>
        </w:rPr>
        <w:t xml:space="preserve">Ogólne wymagania dotyczące sprzętu </w:t>
      </w:r>
      <w:r w:rsidR="00790340" w:rsidRPr="00EE1758">
        <w:rPr>
          <w:rFonts w:ascii="Arial" w:hAnsi="Arial" w:cs="Arial"/>
          <w:color w:val="auto"/>
          <w:szCs w:val="20"/>
        </w:rPr>
        <w:t>, jeżeli nie podano w niniejszej specyfikacji  należy przyjąć zgodnie z zapisami pozostałych specyfikacji zamieszczonych do niniejszego postępowania.</w:t>
      </w:r>
    </w:p>
    <w:p w14:paraId="0B1B2D1C"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lastRenderedPageBreak/>
        <w:t xml:space="preserve">3.2. Sprzęt stosowany do wykonania robót </w:t>
      </w:r>
    </w:p>
    <w:p w14:paraId="2C9E4B63" w14:textId="77777777" w:rsidR="00415D45" w:rsidRPr="00EE1758" w:rsidRDefault="009D7DAD">
      <w:pPr>
        <w:ind w:left="-15" w:right="40" w:firstLine="283"/>
        <w:rPr>
          <w:rFonts w:ascii="Arial" w:hAnsi="Arial" w:cs="Arial"/>
          <w:color w:val="auto"/>
          <w:szCs w:val="20"/>
        </w:rPr>
      </w:pPr>
      <w:r w:rsidRPr="00EE1758">
        <w:rPr>
          <w:rFonts w:ascii="Arial" w:hAnsi="Arial" w:cs="Arial"/>
          <w:color w:val="auto"/>
          <w:szCs w:val="20"/>
        </w:rPr>
        <w:t xml:space="preserve">Wykonawca przystępujący do remontu (przestawienia) betonowych obrzeży chodnikowych powinien wykazać się możliwością korzystania z: drągów stalowych, skrobaczek, szczotek, łomów, konewek, wiader do wody, szpadli, łopat itp. </w:t>
      </w:r>
    </w:p>
    <w:p w14:paraId="4FBEE1FE" w14:textId="77777777" w:rsidR="00415D45" w:rsidRPr="00EE1758" w:rsidRDefault="009D7DAD">
      <w:pPr>
        <w:pStyle w:val="Nagwek3"/>
        <w:ind w:left="-5"/>
        <w:rPr>
          <w:rFonts w:ascii="Arial" w:hAnsi="Arial" w:cs="Arial"/>
          <w:color w:val="auto"/>
          <w:szCs w:val="20"/>
        </w:rPr>
      </w:pPr>
      <w:r w:rsidRPr="00EE1758">
        <w:rPr>
          <w:rFonts w:ascii="Arial" w:hAnsi="Arial" w:cs="Arial"/>
          <w:color w:val="auto"/>
          <w:szCs w:val="20"/>
        </w:rPr>
        <w:t xml:space="preserve">4. TRANSPORT </w:t>
      </w:r>
    </w:p>
    <w:p w14:paraId="68F09C9F" w14:textId="77777777" w:rsidR="00415D45" w:rsidRPr="00EE1758" w:rsidRDefault="009D7DAD">
      <w:pPr>
        <w:spacing w:after="142" w:line="259" w:lineRule="auto"/>
        <w:ind w:left="-5" w:right="0"/>
        <w:jc w:val="left"/>
        <w:rPr>
          <w:rFonts w:ascii="Arial" w:hAnsi="Arial" w:cs="Arial"/>
          <w:color w:val="auto"/>
          <w:szCs w:val="20"/>
        </w:rPr>
      </w:pPr>
      <w:r w:rsidRPr="00EE1758">
        <w:rPr>
          <w:rFonts w:ascii="Arial" w:hAnsi="Arial" w:cs="Arial"/>
          <w:b/>
          <w:color w:val="auto"/>
          <w:szCs w:val="20"/>
        </w:rPr>
        <w:t xml:space="preserve">4.1. Ogólne wymagania dotyczące transportu  </w:t>
      </w:r>
    </w:p>
    <w:p w14:paraId="41ADCDD4" w14:textId="77777777" w:rsidR="00790340" w:rsidRPr="00EE1758" w:rsidRDefault="009D7DAD" w:rsidP="00790340">
      <w:pPr>
        <w:spacing w:after="112"/>
        <w:ind w:left="-5" w:right="40"/>
        <w:rPr>
          <w:rFonts w:ascii="Arial" w:hAnsi="Arial" w:cs="Arial"/>
          <w:color w:val="auto"/>
          <w:szCs w:val="20"/>
        </w:rPr>
      </w:pPr>
      <w:r w:rsidRPr="00EE1758">
        <w:rPr>
          <w:rFonts w:ascii="Arial" w:hAnsi="Arial" w:cs="Arial"/>
          <w:color w:val="auto"/>
          <w:szCs w:val="20"/>
        </w:rPr>
        <w:t>Ogólne wymagania dotyczące transportu</w:t>
      </w:r>
      <w:r w:rsidR="00790340" w:rsidRPr="00EE1758">
        <w:rPr>
          <w:rFonts w:ascii="Arial" w:hAnsi="Arial" w:cs="Arial"/>
          <w:color w:val="auto"/>
          <w:szCs w:val="20"/>
        </w:rPr>
        <w:t>, jeżeli nie podano w niniejszej specyfikacji  należy przyjąć zgodnie z zapisami pozostałych specyfikacji zamieszczonych do niniejszego postępowania.</w:t>
      </w:r>
    </w:p>
    <w:p w14:paraId="574942F3" w14:textId="37187E30" w:rsidR="00415D45" w:rsidRPr="00EE1758" w:rsidRDefault="009D7DAD" w:rsidP="00790340">
      <w:pPr>
        <w:spacing w:after="112"/>
        <w:ind w:left="-5" w:right="40"/>
        <w:rPr>
          <w:rFonts w:ascii="Arial" w:hAnsi="Arial" w:cs="Arial"/>
          <w:b/>
          <w:bCs/>
          <w:color w:val="auto"/>
          <w:szCs w:val="20"/>
        </w:rPr>
      </w:pPr>
      <w:r w:rsidRPr="00EE1758">
        <w:rPr>
          <w:rFonts w:ascii="Arial" w:hAnsi="Arial" w:cs="Arial"/>
          <w:b/>
          <w:bCs/>
          <w:color w:val="auto"/>
          <w:szCs w:val="20"/>
        </w:rPr>
        <w:t xml:space="preserve">4.2. Transport materiałów </w:t>
      </w:r>
    </w:p>
    <w:p w14:paraId="309A4ADB" w14:textId="77777777" w:rsidR="00415D45" w:rsidRPr="00EE1758" w:rsidRDefault="009D7DAD">
      <w:pPr>
        <w:spacing w:after="31"/>
        <w:ind w:left="-15" w:right="40" w:firstLine="283"/>
        <w:rPr>
          <w:rFonts w:ascii="Arial" w:hAnsi="Arial" w:cs="Arial"/>
          <w:color w:val="auto"/>
          <w:szCs w:val="20"/>
        </w:rPr>
      </w:pPr>
      <w:r w:rsidRPr="00EE1758">
        <w:rPr>
          <w:rFonts w:ascii="Arial" w:hAnsi="Arial" w:cs="Arial"/>
          <w:color w:val="auto"/>
          <w:szCs w:val="20"/>
        </w:rPr>
        <w:t xml:space="preserve">Materiały sypkie można przewozić dowolnymi środkami transportu, w warunkach zabezpieczających je przed  zanieczyszczeniem, zmieszaniem z innymi materiałami i nadmiernym zawilgoceniem. </w:t>
      </w:r>
    </w:p>
    <w:p w14:paraId="03A5132B" w14:textId="77777777" w:rsidR="00790340" w:rsidRPr="00EE1758" w:rsidRDefault="009D7DAD" w:rsidP="00790340">
      <w:pPr>
        <w:spacing w:after="228"/>
        <w:ind w:left="293" w:right="180"/>
        <w:rPr>
          <w:rFonts w:ascii="Arial" w:hAnsi="Arial" w:cs="Arial"/>
          <w:color w:val="auto"/>
          <w:szCs w:val="20"/>
        </w:rPr>
      </w:pPr>
      <w:r w:rsidRPr="00EE1758">
        <w:rPr>
          <w:rFonts w:ascii="Arial" w:hAnsi="Arial" w:cs="Arial"/>
          <w:color w:val="auto"/>
          <w:szCs w:val="20"/>
        </w:rPr>
        <w:t xml:space="preserve">Obrzeża betonowe powinny być zabezpieczone przed przemieszczaniem się i uszkodzeniami w czasie transportu. Warunki transportu materiałów </w:t>
      </w:r>
      <w:r w:rsidR="00790340" w:rsidRPr="00EE1758">
        <w:rPr>
          <w:rFonts w:ascii="Arial" w:hAnsi="Arial" w:cs="Arial"/>
          <w:color w:val="auto"/>
          <w:szCs w:val="20"/>
        </w:rPr>
        <w:t>, jeżeli nie podano w niniejszej specyfikacji  należy przyjąć zgodnie z zapisami pozostałych specyfikacji zamieszczonych do niniejszego postępowania.</w:t>
      </w:r>
    </w:p>
    <w:p w14:paraId="07EFC9D8" w14:textId="11A50B09" w:rsidR="00415D45" w:rsidRPr="00EE1758" w:rsidRDefault="009D7DAD" w:rsidP="00790340">
      <w:pPr>
        <w:spacing w:after="228"/>
        <w:ind w:right="180"/>
        <w:rPr>
          <w:rFonts w:ascii="Arial" w:hAnsi="Arial" w:cs="Arial"/>
          <w:b/>
          <w:bCs/>
          <w:color w:val="auto"/>
          <w:szCs w:val="20"/>
        </w:rPr>
      </w:pPr>
      <w:r w:rsidRPr="00EE1758">
        <w:rPr>
          <w:rFonts w:ascii="Arial" w:hAnsi="Arial" w:cs="Arial"/>
          <w:b/>
          <w:bCs/>
          <w:color w:val="auto"/>
          <w:szCs w:val="20"/>
        </w:rPr>
        <w:t xml:space="preserve">5. WYKONANIE ROBÓT </w:t>
      </w:r>
    </w:p>
    <w:p w14:paraId="151F24A9" w14:textId="77777777" w:rsidR="00415D45" w:rsidRPr="00EE1758" w:rsidRDefault="009D7DAD">
      <w:pPr>
        <w:spacing w:after="142" w:line="259" w:lineRule="auto"/>
        <w:ind w:left="-5" w:right="0"/>
        <w:jc w:val="left"/>
        <w:rPr>
          <w:rFonts w:ascii="Arial" w:hAnsi="Arial" w:cs="Arial"/>
          <w:color w:val="auto"/>
          <w:szCs w:val="20"/>
        </w:rPr>
      </w:pPr>
      <w:r w:rsidRPr="00EE1758">
        <w:rPr>
          <w:rFonts w:ascii="Arial" w:hAnsi="Arial" w:cs="Arial"/>
          <w:b/>
          <w:color w:val="auto"/>
          <w:szCs w:val="20"/>
        </w:rPr>
        <w:t xml:space="preserve">5.1. Ogólne zasady wykonania robót </w:t>
      </w:r>
    </w:p>
    <w:p w14:paraId="66CE1BEB" w14:textId="12A9F477" w:rsidR="00415D45" w:rsidRPr="00EE1758" w:rsidRDefault="009D7DAD">
      <w:pPr>
        <w:tabs>
          <w:tab w:val="center" w:pos="4082"/>
        </w:tabs>
        <w:spacing w:after="117"/>
        <w:ind w:left="-15" w:right="0" w:firstLine="0"/>
        <w:jc w:val="left"/>
        <w:rPr>
          <w:rFonts w:ascii="Arial" w:hAnsi="Arial" w:cs="Arial"/>
          <w:color w:val="auto"/>
          <w:szCs w:val="20"/>
        </w:rPr>
      </w:pPr>
      <w:r w:rsidRPr="00EE1758">
        <w:rPr>
          <w:rFonts w:ascii="Arial" w:hAnsi="Arial" w:cs="Arial"/>
          <w:color w:val="auto"/>
          <w:szCs w:val="20"/>
        </w:rPr>
        <w:t xml:space="preserve"> </w:t>
      </w:r>
      <w:r w:rsidRPr="00EE1758">
        <w:rPr>
          <w:rFonts w:ascii="Arial" w:hAnsi="Arial" w:cs="Arial"/>
          <w:color w:val="auto"/>
          <w:szCs w:val="20"/>
        </w:rPr>
        <w:tab/>
        <w:t xml:space="preserve">Ogólne zasady wykonania robót </w:t>
      </w:r>
      <w:r w:rsidR="00790340" w:rsidRPr="00EE1758">
        <w:rPr>
          <w:rFonts w:ascii="Arial" w:hAnsi="Arial" w:cs="Arial"/>
          <w:color w:val="auto"/>
          <w:szCs w:val="20"/>
        </w:rPr>
        <w:t>, jeżeli nie podano w niniejszej specyfikacji  należy przyjąć zgodnie z zapisami pozostałych specyfikacji zamieszczonych do niniejszego postępowania.</w:t>
      </w:r>
    </w:p>
    <w:p w14:paraId="0C11ECE0"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5.2. Zasady wykonywania robót </w:t>
      </w:r>
    </w:p>
    <w:p w14:paraId="26B9136F" w14:textId="3DEAEAC9" w:rsidR="00415D45" w:rsidRPr="00EE1758" w:rsidRDefault="009D7DAD">
      <w:pPr>
        <w:spacing w:after="25"/>
        <w:ind w:left="-15" w:right="40" w:firstLine="283"/>
        <w:rPr>
          <w:rFonts w:ascii="Arial" w:hAnsi="Arial" w:cs="Arial"/>
          <w:color w:val="auto"/>
          <w:szCs w:val="20"/>
        </w:rPr>
      </w:pPr>
      <w:r w:rsidRPr="00EE1758">
        <w:rPr>
          <w:rFonts w:ascii="Arial" w:hAnsi="Arial" w:cs="Arial"/>
          <w:color w:val="auto"/>
          <w:szCs w:val="20"/>
        </w:rPr>
        <w:t xml:space="preserve">Sposób wykonania robót powinien być zgodny z dokumentacją </w:t>
      </w:r>
      <w:r w:rsidR="004E4B7C" w:rsidRPr="00EE1758">
        <w:rPr>
          <w:rFonts w:ascii="Arial" w:hAnsi="Arial" w:cs="Arial"/>
          <w:color w:val="auto"/>
          <w:szCs w:val="20"/>
        </w:rPr>
        <w:t>zamówienia</w:t>
      </w:r>
      <w:r w:rsidRPr="00EE1758">
        <w:rPr>
          <w:rFonts w:ascii="Arial" w:hAnsi="Arial" w:cs="Arial"/>
          <w:color w:val="auto"/>
          <w:szCs w:val="20"/>
        </w:rPr>
        <w:t xml:space="preserve"> i </w:t>
      </w:r>
      <w:r w:rsidR="004E4B7C" w:rsidRPr="00EE1758">
        <w:rPr>
          <w:rFonts w:ascii="Arial" w:hAnsi="Arial" w:cs="Arial"/>
          <w:color w:val="auto"/>
          <w:szCs w:val="20"/>
        </w:rPr>
        <w:t>specyfikacją</w:t>
      </w:r>
      <w:r w:rsidRPr="00EE1758">
        <w:rPr>
          <w:rFonts w:ascii="Arial" w:hAnsi="Arial" w:cs="Arial"/>
          <w:color w:val="auto"/>
          <w:szCs w:val="20"/>
        </w:rPr>
        <w:t xml:space="preserve">. W przypadku braku wystarczających danych można korzystać z ustaleń podanych w niniejszej specyfikacji. Podstawowe czynności przy wykonywaniu robót obejmują: </w:t>
      </w:r>
    </w:p>
    <w:p w14:paraId="252B5CCC" w14:textId="77777777" w:rsidR="00415D45" w:rsidRPr="00EE1758" w:rsidRDefault="009D7DAD">
      <w:pPr>
        <w:numPr>
          <w:ilvl w:val="0"/>
          <w:numId w:val="1"/>
        </w:numPr>
        <w:spacing w:after="30"/>
        <w:ind w:right="40" w:hanging="283"/>
        <w:rPr>
          <w:rFonts w:ascii="Arial" w:hAnsi="Arial" w:cs="Arial"/>
          <w:color w:val="auto"/>
          <w:szCs w:val="20"/>
        </w:rPr>
      </w:pPr>
      <w:r w:rsidRPr="00EE1758">
        <w:rPr>
          <w:rFonts w:ascii="Arial" w:hAnsi="Arial" w:cs="Arial"/>
          <w:color w:val="auto"/>
          <w:szCs w:val="20"/>
        </w:rPr>
        <w:t xml:space="preserve">roboty przygotowawcze,  </w:t>
      </w:r>
    </w:p>
    <w:p w14:paraId="0B93BEED" w14:textId="77777777" w:rsidR="00415D45" w:rsidRPr="00EE1758" w:rsidRDefault="009D7DAD">
      <w:pPr>
        <w:numPr>
          <w:ilvl w:val="0"/>
          <w:numId w:val="1"/>
        </w:numPr>
        <w:spacing w:after="29"/>
        <w:ind w:right="40" w:hanging="283"/>
        <w:rPr>
          <w:rFonts w:ascii="Arial" w:hAnsi="Arial" w:cs="Arial"/>
          <w:color w:val="auto"/>
          <w:szCs w:val="20"/>
        </w:rPr>
      </w:pPr>
      <w:r w:rsidRPr="00EE1758">
        <w:rPr>
          <w:rFonts w:ascii="Arial" w:hAnsi="Arial" w:cs="Arial"/>
          <w:color w:val="auto"/>
          <w:szCs w:val="20"/>
        </w:rPr>
        <w:t xml:space="preserve">wykonanie remontu cząstkowego (przestawienia) betonowego obrzeża chodnikowego, </w:t>
      </w:r>
    </w:p>
    <w:p w14:paraId="3E104225" w14:textId="77777777" w:rsidR="00415D45" w:rsidRPr="00EE1758" w:rsidRDefault="009D7DAD">
      <w:pPr>
        <w:numPr>
          <w:ilvl w:val="0"/>
          <w:numId w:val="1"/>
        </w:numPr>
        <w:spacing w:after="112"/>
        <w:ind w:right="40" w:hanging="283"/>
        <w:rPr>
          <w:rFonts w:ascii="Arial" w:hAnsi="Arial" w:cs="Arial"/>
          <w:color w:val="auto"/>
          <w:szCs w:val="20"/>
        </w:rPr>
      </w:pPr>
      <w:r w:rsidRPr="00EE1758">
        <w:rPr>
          <w:rFonts w:ascii="Arial" w:hAnsi="Arial" w:cs="Arial"/>
          <w:color w:val="auto"/>
          <w:szCs w:val="20"/>
        </w:rPr>
        <w:t xml:space="preserve">roboty wykończeniowe. </w:t>
      </w:r>
    </w:p>
    <w:p w14:paraId="10C65A30"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5.3. Roboty przygotowawcze </w:t>
      </w:r>
    </w:p>
    <w:p w14:paraId="247EA7A0" w14:textId="77777777" w:rsidR="00415D45" w:rsidRPr="00EE1758" w:rsidRDefault="009D7DAD">
      <w:pPr>
        <w:spacing w:after="39"/>
        <w:ind w:left="293" w:right="40"/>
        <w:rPr>
          <w:rFonts w:ascii="Arial" w:hAnsi="Arial" w:cs="Arial"/>
          <w:color w:val="auto"/>
          <w:szCs w:val="20"/>
        </w:rPr>
      </w:pPr>
      <w:r w:rsidRPr="00EE1758">
        <w:rPr>
          <w:rFonts w:ascii="Arial" w:hAnsi="Arial" w:cs="Arial"/>
          <w:color w:val="auto"/>
          <w:szCs w:val="20"/>
        </w:rPr>
        <w:t xml:space="preserve">Przed przystąpieniem do robót należy, na podstawie dokumentacji projektowej, </w:t>
      </w:r>
      <w:proofErr w:type="spellStart"/>
      <w:r w:rsidRPr="00EE1758">
        <w:rPr>
          <w:rFonts w:ascii="Arial" w:hAnsi="Arial" w:cs="Arial"/>
          <w:color w:val="auto"/>
          <w:szCs w:val="20"/>
        </w:rPr>
        <w:t>STWiOR</w:t>
      </w:r>
      <w:proofErr w:type="spellEnd"/>
      <w:r w:rsidRPr="00EE1758">
        <w:rPr>
          <w:rFonts w:ascii="Arial" w:hAnsi="Arial" w:cs="Arial"/>
          <w:color w:val="auto"/>
          <w:szCs w:val="20"/>
        </w:rPr>
        <w:t xml:space="preserve"> lub wskazań Zamawiającego: </w:t>
      </w:r>
    </w:p>
    <w:p w14:paraId="29F163D7" w14:textId="77777777" w:rsidR="00415D45" w:rsidRPr="00EE1758" w:rsidRDefault="009D7DAD">
      <w:pPr>
        <w:spacing w:after="10"/>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ustalić lokalizację terenu robót, </w:t>
      </w:r>
    </w:p>
    <w:p w14:paraId="2C900A38" w14:textId="77777777" w:rsidR="00415D45" w:rsidRPr="00EE1758" w:rsidRDefault="009D7DAD">
      <w:pPr>
        <w:spacing w:after="10"/>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ew. ustalić dane niezbędne do szczegółowego wytyczenia robót oraz ustalenia danych wysokościowych, </w:t>
      </w:r>
    </w:p>
    <w:p w14:paraId="2CE4DB64" w14:textId="77777777" w:rsidR="00415D45" w:rsidRPr="00EE1758" w:rsidRDefault="009D7DAD">
      <w:pPr>
        <w:spacing w:after="10"/>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ew. usunąć przeszkody, np. słupki, pachołki, elementy dróg, ogrodzeń itd., </w:t>
      </w:r>
    </w:p>
    <w:p w14:paraId="62C14505" w14:textId="77777777" w:rsidR="00415D45" w:rsidRPr="00EE1758" w:rsidRDefault="009D7DAD">
      <w:pPr>
        <w:spacing w:after="120"/>
        <w:ind w:left="-5" w:right="4857"/>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ustalić materiały niezbędne do wykonania robót naprawczych, </w:t>
      </w: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ustalić kolejność, sposób i termin wykonania robót. </w:t>
      </w:r>
    </w:p>
    <w:p w14:paraId="2B81CBC6"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5.4. Przestawienie betonowych obrzeży chodnikowych </w:t>
      </w:r>
    </w:p>
    <w:p w14:paraId="2D73478B"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5.4.1. </w:t>
      </w:r>
      <w:r w:rsidRPr="00EE1758">
        <w:rPr>
          <w:rFonts w:ascii="Arial" w:hAnsi="Arial" w:cs="Arial"/>
          <w:color w:val="auto"/>
          <w:szCs w:val="20"/>
        </w:rPr>
        <w:t xml:space="preserve">Zasady przestawiania obrzeży </w:t>
      </w:r>
    </w:p>
    <w:p w14:paraId="3A8C6674" w14:textId="77777777" w:rsidR="00415D45" w:rsidRPr="00EE1758" w:rsidRDefault="009D7DAD">
      <w:pPr>
        <w:spacing w:after="41"/>
        <w:ind w:left="293" w:right="40"/>
        <w:rPr>
          <w:rFonts w:ascii="Arial" w:hAnsi="Arial" w:cs="Arial"/>
          <w:color w:val="auto"/>
          <w:szCs w:val="20"/>
        </w:rPr>
      </w:pPr>
      <w:r w:rsidRPr="00EE1758">
        <w:rPr>
          <w:rFonts w:ascii="Arial" w:hAnsi="Arial" w:cs="Arial"/>
          <w:color w:val="auto"/>
          <w:szCs w:val="20"/>
        </w:rPr>
        <w:t xml:space="preserve">Podstawowe czynności przy przestawianiu obrzeży obejmują: </w:t>
      </w:r>
    </w:p>
    <w:p w14:paraId="37434A81" w14:textId="77777777" w:rsidR="00415D45" w:rsidRPr="00EE1758" w:rsidRDefault="009D7DAD">
      <w:pPr>
        <w:spacing w:after="9"/>
        <w:ind w:left="-5" w:right="114"/>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odkopanie zewnętrznej ściany obrzeży z ewentualnym rozebraniem chodnika oraz z odrzuceniem ziemi poza strefę robót, </w:t>
      </w: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wyjęcie obrzeży i odłożenie poza strefę robót, </w:t>
      </w:r>
    </w:p>
    <w:p w14:paraId="2B8E12F4" w14:textId="77777777" w:rsidR="00415D45" w:rsidRPr="00EE1758" w:rsidRDefault="009D7DAD">
      <w:pPr>
        <w:spacing w:after="3"/>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oczyszczenie obrzeży z resztek ziemi, względnie z zaprawy cementowej, </w:t>
      </w:r>
    </w:p>
    <w:p w14:paraId="0479D730" w14:textId="77777777" w:rsidR="00415D45" w:rsidRPr="00EE1758" w:rsidRDefault="009D7DAD">
      <w:pPr>
        <w:spacing w:after="8"/>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uzupełnienie i wyrównanie podsypki piaskowej lub cementowo-piaskowej wraz z jej przygotowaniem (naprawienie ławy), </w:t>
      </w: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ustawienie obrzeży, </w:t>
      </w:r>
    </w:p>
    <w:p w14:paraId="5140F6EC" w14:textId="77777777" w:rsidR="00415D45" w:rsidRPr="00EE1758" w:rsidRDefault="009D7DAD">
      <w:pPr>
        <w:spacing w:after="3"/>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zasypanie ziemią zewnętrznej strony obrzeży wraz z ubiciem ziemi, </w:t>
      </w:r>
    </w:p>
    <w:p w14:paraId="444D9533" w14:textId="77777777" w:rsidR="00415D45" w:rsidRPr="00EE1758" w:rsidRDefault="009D7DAD">
      <w:pPr>
        <w:spacing w:after="9"/>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wypełnienie spoin, </w:t>
      </w:r>
    </w:p>
    <w:p w14:paraId="6F619AB8" w14:textId="77777777" w:rsidR="00415D45" w:rsidRPr="00EE1758" w:rsidRDefault="009D7DAD">
      <w:pPr>
        <w:spacing w:after="113"/>
        <w:ind w:left="268" w:right="40" w:hanging="283"/>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roboty końcowe i porządkujące, jak: ew. pielęgnacja spoin obrzeży, ułożenie rozebranego chodnika, wyrównanie trawnika itp. </w:t>
      </w:r>
    </w:p>
    <w:p w14:paraId="0E7972D8"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5.4.2. </w:t>
      </w:r>
      <w:r w:rsidRPr="00EE1758">
        <w:rPr>
          <w:rFonts w:ascii="Arial" w:hAnsi="Arial" w:cs="Arial"/>
          <w:color w:val="auto"/>
          <w:szCs w:val="20"/>
        </w:rPr>
        <w:t xml:space="preserve">Roboty rozbiórkowe </w:t>
      </w:r>
    </w:p>
    <w:p w14:paraId="64376E75" w14:textId="77777777" w:rsidR="00415D45" w:rsidRPr="00EE1758" w:rsidRDefault="009D7DAD">
      <w:pPr>
        <w:spacing w:after="29"/>
        <w:ind w:left="293" w:right="40"/>
        <w:rPr>
          <w:rFonts w:ascii="Arial" w:hAnsi="Arial" w:cs="Arial"/>
          <w:color w:val="auto"/>
          <w:szCs w:val="20"/>
        </w:rPr>
      </w:pPr>
      <w:r w:rsidRPr="00EE1758">
        <w:rPr>
          <w:rFonts w:ascii="Arial" w:hAnsi="Arial" w:cs="Arial"/>
          <w:color w:val="auto"/>
          <w:szCs w:val="20"/>
        </w:rPr>
        <w:t xml:space="preserve">Zakres remontu obrzeża powinien dotyczyć całego obszaru uszkodzonych elementów oraz części do niego przylegających. </w:t>
      </w:r>
    </w:p>
    <w:p w14:paraId="3D955BDD" w14:textId="77777777" w:rsidR="00415D45" w:rsidRPr="00EE1758" w:rsidRDefault="009D7DAD">
      <w:pPr>
        <w:spacing w:after="26"/>
        <w:ind w:left="-15" w:right="40" w:firstLine="283"/>
        <w:rPr>
          <w:rFonts w:ascii="Arial" w:hAnsi="Arial" w:cs="Arial"/>
          <w:color w:val="auto"/>
          <w:szCs w:val="20"/>
        </w:rPr>
      </w:pPr>
      <w:r w:rsidRPr="00EE1758">
        <w:rPr>
          <w:rFonts w:ascii="Arial" w:hAnsi="Arial" w:cs="Arial"/>
          <w:color w:val="auto"/>
          <w:szCs w:val="20"/>
        </w:rPr>
        <w:lastRenderedPageBreak/>
        <w:t xml:space="preserve">Przy wyznaczaniu zakresu remontu należy uwzględnić potrzeby prowadzenia ruchu pieszego, zwłaszcza jeśli wymagana jest rozbiórka  części chodnika, przylegająca do obrzeża. </w:t>
      </w:r>
    </w:p>
    <w:p w14:paraId="25F21390" w14:textId="77777777" w:rsidR="00415D45" w:rsidRPr="00EE1758" w:rsidRDefault="009D7DAD">
      <w:pPr>
        <w:spacing w:after="28"/>
        <w:ind w:left="293" w:right="40"/>
        <w:rPr>
          <w:rFonts w:ascii="Arial" w:hAnsi="Arial" w:cs="Arial"/>
          <w:color w:val="auto"/>
          <w:szCs w:val="20"/>
        </w:rPr>
      </w:pPr>
      <w:r w:rsidRPr="00EE1758">
        <w:rPr>
          <w:rFonts w:ascii="Arial" w:hAnsi="Arial" w:cs="Arial"/>
          <w:color w:val="auto"/>
          <w:szCs w:val="20"/>
        </w:rPr>
        <w:t xml:space="preserve">Powierzchnię przeznaczoną do wykonania remontu akceptuje Zamawiający. </w:t>
      </w:r>
    </w:p>
    <w:p w14:paraId="52E552D4" w14:textId="70873EFA" w:rsidR="00415D45" w:rsidRPr="00EE1758" w:rsidRDefault="009D7DAD">
      <w:pPr>
        <w:spacing w:after="26"/>
        <w:ind w:left="-15" w:right="40" w:firstLine="283"/>
        <w:rPr>
          <w:rFonts w:ascii="Arial" w:hAnsi="Arial" w:cs="Arial"/>
          <w:color w:val="auto"/>
          <w:szCs w:val="20"/>
        </w:rPr>
      </w:pPr>
      <w:r w:rsidRPr="00EE1758">
        <w:rPr>
          <w:rFonts w:ascii="Arial" w:hAnsi="Arial" w:cs="Arial"/>
          <w:color w:val="auto"/>
          <w:szCs w:val="20"/>
        </w:rPr>
        <w:t xml:space="preserve">Odkopanie zewnętrznej ściany obrzeża i wyjęcie elementów obrzeża można przeprowadzić ręcznie przy pomocy prostych narzędzi pomocniczych jak: łopat, szpadli, oskardów, drągów stalowych itp. Ewentualne roboty remontowe chodnika </w:t>
      </w:r>
      <w:r w:rsidR="009A08FD" w:rsidRPr="00EE1758">
        <w:rPr>
          <w:rFonts w:ascii="Arial" w:hAnsi="Arial" w:cs="Arial"/>
          <w:color w:val="auto"/>
          <w:szCs w:val="20"/>
        </w:rPr>
        <w:t>można wykonać zgodnie z zapisami pozostałych specyfikacji zamieszczonych do niniejszego postępowania.</w:t>
      </w:r>
    </w:p>
    <w:p w14:paraId="42A76ED9" w14:textId="77777777" w:rsidR="00415D45" w:rsidRPr="00EE1758" w:rsidRDefault="009D7DAD">
      <w:pPr>
        <w:spacing w:after="26"/>
        <w:ind w:left="-15" w:right="40" w:firstLine="283"/>
        <w:rPr>
          <w:rFonts w:ascii="Arial" w:hAnsi="Arial" w:cs="Arial"/>
          <w:color w:val="auto"/>
          <w:szCs w:val="20"/>
        </w:rPr>
      </w:pPr>
      <w:r w:rsidRPr="00EE1758">
        <w:rPr>
          <w:rFonts w:ascii="Arial" w:hAnsi="Arial" w:cs="Arial"/>
          <w:color w:val="auto"/>
          <w:szCs w:val="20"/>
        </w:rPr>
        <w:t xml:space="preserve">Obrzeża otrzymane z rozbiórki, nadające się do ponownego wbudowania, należy dokładnie oczyścić, posortować i składować w miejscach nie kolidujących z wykonywaniem robót. </w:t>
      </w:r>
    </w:p>
    <w:p w14:paraId="2C5460E3" w14:textId="77777777" w:rsidR="00415D45" w:rsidRPr="00EE1758" w:rsidRDefault="009D7DAD">
      <w:pPr>
        <w:spacing w:after="108"/>
        <w:ind w:left="-15" w:right="40" w:firstLine="283"/>
        <w:rPr>
          <w:rFonts w:ascii="Arial" w:hAnsi="Arial" w:cs="Arial"/>
          <w:color w:val="auto"/>
          <w:szCs w:val="20"/>
        </w:rPr>
      </w:pPr>
      <w:r w:rsidRPr="00EE1758">
        <w:rPr>
          <w:rFonts w:ascii="Arial" w:hAnsi="Arial" w:cs="Arial"/>
          <w:color w:val="auto"/>
          <w:szCs w:val="20"/>
        </w:rPr>
        <w:t xml:space="preserve">Po usunięciu obrzeży sprawdza się stan podsypki i ewentualnie ław. Stwardniałą starą podsypkę cementowo-piaskową usuwa się całkowicie. Natomiast starą podsypkę piaskową lub naturalne podłoże piaszczyste, w zależności od stanu, albo pozostawia się, albo usuwa się zanieczyszczoną górną warstwę. </w:t>
      </w:r>
    </w:p>
    <w:p w14:paraId="3C15A714"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5.4.3. </w:t>
      </w:r>
      <w:r w:rsidRPr="00EE1758">
        <w:rPr>
          <w:rFonts w:ascii="Arial" w:hAnsi="Arial" w:cs="Arial"/>
          <w:color w:val="auto"/>
          <w:szCs w:val="20"/>
        </w:rPr>
        <w:t xml:space="preserve">Ewentualna naprawa ław </w:t>
      </w:r>
    </w:p>
    <w:p w14:paraId="25B7701A" w14:textId="77777777" w:rsidR="00415D45" w:rsidRPr="00EE1758" w:rsidRDefault="009D7DAD">
      <w:pPr>
        <w:ind w:left="-15" w:right="40" w:firstLine="283"/>
        <w:rPr>
          <w:rFonts w:ascii="Arial" w:hAnsi="Arial" w:cs="Arial"/>
          <w:color w:val="auto"/>
          <w:szCs w:val="20"/>
        </w:rPr>
      </w:pPr>
      <w:r w:rsidRPr="00EE1758">
        <w:rPr>
          <w:rFonts w:ascii="Arial" w:hAnsi="Arial" w:cs="Arial"/>
          <w:color w:val="auto"/>
          <w:szCs w:val="20"/>
        </w:rPr>
        <w:t xml:space="preserve">W przypadku istnienia ław, należy zbadać ewentualne ich uszkodzenia i usunąć je w sposób właściwy dla rodzaju konstrukcji i materiału. W przypadku ław żwirowych, należy w miejscach uszkodzonych zasypać koryto żwirem i zagęścić z polewaniem wodą. </w:t>
      </w:r>
    </w:p>
    <w:p w14:paraId="09545404" w14:textId="77777777" w:rsidR="00415D45" w:rsidRPr="00EE1758" w:rsidRDefault="009D7DAD">
      <w:pPr>
        <w:ind w:left="-15" w:right="40" w:firstLine="283"/>
        <w:rPr>
          <w:rFonts w:ascii="Arial" w:hAnsi="Arial" w:cs="Arial"/>
          <w:color w:val="auto"/>
          <w:szCs w:val="20"/>
        </w:rPr>
      </w:pPr>
      <w:r w:rsidRPr="00EE1758">
        <w:rPr>
          <w:rFonts w:ascii="Arial" w:hAnsi="Arial" w:cs="Arial"/>
          <w:color w:val="auto"/>
          <w:szCs w:val="20"/>
        </w:rPr>
        <w:t>W przypadkach szczególnych, przy doraźnym prowadzeniu naprawy ławy można, po akceptacji Zamawiającego, wyrównać ją chudym betonem o zawartości np. od 160 do 180 kg cementu na 1 m</w:t>
      </w:r>
      <w:r w:rsidRPr="00EE1758">
        <w:rPr>
          <w:rFonts w:ascii="Arial" w:hAnsi="Arial" w:cs="Arial"/>
          <w:color w:val="auto"/>
          <w:szCs w:val="20"/>
          <w:vertAlign w:val="superscript"/>
        </w:rPr>
        <w:t>3</w:t>
      </w:r>
      <w:r w:rsidRPr="00EE1758">
        <w:rPr>
          <w:rFonts w:ascii="Arial" w:hAnsi="Arial" w:cs="Arial"/>
          <w:color w:val="auto"/>
          <w:szCs w:val="20"/>
        </w:rPr>
        <w:t xml:space="preserve"> betonu. </w:t>
      </w:r>
    </w:p>
    <w:p w14:paraId="0327C445"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5.4.4. </w:t>
      </w:r>
      <w:r w:rsidRPr="00EE1758">
        <w:rPr>
          <w:rFonts w:ascii="Arial" w:hAnsi="Arial" w:cs="Arial"/>
          <w:color w:val="auto"/>
          <w:szCs w:val="20"/>
        </w:rPr>
        <w:t xml:space="preserve">Podsypka pod obrzeże </w:t>
      </w:r>
    </w:p>
    <w:p w14:paraId="27A141FE" w14:textId="77777777" w:rsidR="00415D45" w:rsidRPr="00EE1758" w:rsidRDefault="009D7DAD">
      <w:pPr>
        <w:spacing w:after="41"/>
        <w:ind w:left="293" w:right="40"/>
        <w:rPr>
          <w:rFonts w:ascii="Arial" w:hAnsi="Arial" w:cs="Arial"/>
          <w:color w:val="auto"/>
          <w:szCs w:val="20"/>
        </w:rPr>
      </w:pPr>
      <w:r w:rsidRPr="00EE1758">
        <w:rPr>
          <w:rFonts w:ascii="Arial" w:hAnsi="Arial" w:cs="Arial"/>
          <w:color w:val="auto"/>
          <w:szCs w:val="20"/>
        </w:rPr>
        <w:t xml:space="preserve">Podsypkę piaskową lub naturalne podłoże piaszczyste pod obrzeże należy, albo: </w:t>
      </w:r>
    </w:p>
    <w:p w14:paraId="706D6638" w14:textId="77777777" w:rsidR="00415D45" w:rsidRPr="00EE1758" w:rsidRDefault="009D7DAD">
      <w:pPr>
        <w:spacing w:after="10"/>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spulchnić w przypadku pozostawienia przy rozbiórce, albo </w:t>
      </w:r>
    </w:p>
    <w:p w14:paraId="2FF764FC" w14:textId="77777777" w:rsidR="00415D45" w:rsidRPr="00EE1758" w:rsidRDefault="009D7DAD">
      <w:pPr>
        <w:ind w:left="268" w:right="1057" w:hanging="283"/>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uzupełnić piaskiem, w przypadku usunięcia zanieczyszczonej górnej starej warstwy, a następnie ubić. Podsypkę cementowo-piaskową, po jej przygotowaniu, należy rozścielić na podłożu.  </w:t>
      </w:r>
    </w:p>
    <w:p w14:paraId="40E9EE17"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5.4.5. </w:t>
      </w:r>
      <w:r w:rsidRPr="00EE1758">
        <w:rPr>
          <w:rFonts w:ascii="Arial" w:hAnsi="Arial" w:cs="Arial"/>
          <w:color w:val="auto"/>
          <w:szCs w:val="20"/>
        </w:rPr>
        <w:t xml:space="preserve">Ustawienie obrzeża </w:t>
      </w:r>
    </w:p>
    <w:p w14:paraId="695FBA53" w14:textId="77777777" w:rsidR="00415D45" w:rsidRPr="00EE1758" w:rsidRDefault="009D7DAD">
      <w:pPr>
        <w:spacing w:after="29"/>
        <w:ind w:left="-15" w:right="40" w:firstLine="283"/>
        <w:rPr>
          <w:rFonts w:ascii="Arial" w:hAnsi="Arial" w:cs="Arial"/>
          <w:color w:val="auto"/>
          <w:szCs w:val="20"/>
        </w:rPr>
      </w:pPr>
      <w:r w:rsidRPr="00EE1758">
        <w:rPr>
          <w:rFonts w:ascii="Arial" w:hAnsi="Arial" w:cs="Arial"/>
          <w:color w:val="auto"/>
          <w:szCs w:val="20"/>
        </w:rPr>
        <w:t xml:space="preserve">Do remontu należy użyć, w największym zakresie, obrzeża otrzymane z rozbiórki, nadające się do ponownego wbudowania. Obrzeża uszkodzone lub zniszczone należy zastąpić nowym uzupełnionym materiałem, odpowiadającym wymaganiom punktu 2.2.2. </w:t>
      </w:r>
    </w:p>
    <w:p w14:paraId="187BF76B" w14:textId="77777777" w:rsidR="00415D45" w:rsidRPr="00EE1758" w:rsidRDefault="009D7DAD">
      <w:pPr>
        <w:spacing w:after="29"/>
        <w:ind w:left="293" w:right="40"/>
        <w:rPr>
          <w:rFonts w:ascii="Arial" w:hAnsi="Arial" w:cs="Arial"/>
          <w:color w:val="auto"/>
          <w:szCs w:val="20"/>
        </w:rPr>
      </w:pPr>
      <w:r w:rsidRPr="00EE1758">
        <w:rPr>
          <w:rFonts w:ascii="Arial" w:hAnsi="Arial" w:cs="Arial"/>
          <w:color w:val="auto"/>
          <w:szCs w:val="20"/>
        </w:rPr>
        <w:t xml:space="preserve">Niweleta górnej powierzchni obrzeża powinna być dostosowana do warunków sprzed rozbiórki. </w:t>
      </w:r>
    </w:p>
    <w:p w14:paraId="66CF819C" w14:textId="77777777" w:rsidR="00415D45" w:rsidRPr="00EE1758" w:rsidRDefault="009D7DAD">
      <w:pPr>
        <w:spacing w:after="108"/>
        <w:ind w:left="-15" w:right="40" w:firstLine="283"/>
        <w:rPr>
          <w:rFonts w:ascii="Arial" w:hAnsi="Arial" w:cs="Arial"/>
          <w:color w:val="auto"/>
          <w:szCs w:val="20"/>
        </w:rPr>
      </w:pPr>
      <w:r w:rsidRPr="00EE1758">
        <w:rPr>
          <w:rFonts w:ascii="Arial" w:hAnsi="Arial" w:cs="Arial"/>
          <w:color w:val="auto"/>
          <w:szCs w:val="20"/>
        </w:rPr>
        <w:t xml:space="preserve">Zewnętrzna ściana obrzeża, od strony chodnika lub trawnika, powinna być po ustawieniu obrzeża obsypana miejscowym gruntem przepuszczalnym, piaskiem lub żwirem, starannie ubitym. Wykorzystanie innego miejscowego gruntu do zasypki wymaga akceptacji Zamawiającego. </w:t>
      </w:r>
    </w:p>
    <w:p w14:paraId="41AC3149" w14:textId="77777777" w:rsidR="00415D45" w:rsidRPr="00EE1758" w:rsidRDefault="009D7DAD">
      <w:pPr>
        <w:ind w:left="-5" w:right="40"/>
        <w:rPr>
          <w:rFonts w:ascii="Arial" w:hAnsi="Arial" w:cs="Arial"/>
          <w:color w:val="auto"/>
          <w:szCs w:val="20"/>
        </w:rPr>
      </w:pPr>
      <w:r w:rsidRPr="00EE1758">
        <w:rPr>
          <w:rFonts w:ascii="Arial" w:hAnsi="Arial" w:cs="Arial"/>
          <w:b/>
          <w:color w:val="auto"/>
          <w:szCs w:val="20"/>
        </w:rPr>
        <w:t xml:space="preserve">5.4.6. </w:t>
      </w:r>
      <w:r w:rsidRPr="00EE1758">
        <w:rPr>
          <w:rFonts w:ascii="Arial" w:hAnsi="Arial" w:cs="Arial"/>
          <w:color w:val="auto"/>
          <w:szCs w:val="20"/>
        </w:rPr>
        <w:t xml:space="preserve">Wypełnienie spoin </w:t>
      </w:r>
    </w:p>
    <w:p w14:paraId="05EBA1C7" w14:textId="77777777" w:rsidR="00415D45" w:rsidRPr="00EE1758" w:rsidRDefault="009D7DAD">
      <w:pPr>
        <w:spacing w:after="26"/>
        <w:ind w:left="-15" w:right="40" w:firstLine="283"/>
        <w:rPr>
          <w:rFonts w:ascii="Arial" w:hAnsi="Arial" w:cs="Arial"/>
          <w:color w:val="auto"/>
          <w:szCs w:val="20"/>
        </w:rPr>
      </w:pPr>
      <w:r w:rsidRPr="00EE1758">
        <w:rPr>
          <w:rFonts w:ascii="Arial" w:hAnsi="Arial" w:cs="Arial"/>
          <w:color w:val="auto"/>
          <w:szCs w:val="20"/>
        </w:rPr>
        <w:t xml:space="preserve">Spoiny obrzeży nie powinny przekraczać szerokości 1 cm. Spoiny należy wypełnić materiałem podobnym do materiału użytego przed remontem, np. piaskiem lub zaprawą cementowo-piaskową (1:2). </w:t>
      </w:r>
    </w:p>
    <w:p w14:paraId="3BAA041E" w14:textId="77777777" w:rsidR="00415D45" w:rsidRPr="00EE1758" w:rsidRDefault="009D7DAD">
      <w:pPr>
        <w:spacing w:after="28"/>
        <w:ind w:left="293" w:right="40"/>
        <w:rPr>
          <w:rFonts w:ascii="Arial" w:hAnsi="Arial" w:cs="Arial"/>
          <w:color w:val="auto"/>
          <w:szCs w:val="20"/>
        </w:rPr>
      </w:pPr>
      <w:r w:rsidRPr="00EE1758">
        <w:rPr>
          <w:rFonts w:ascii="Arial" w:hAnsi="Arial" w:cs="Arial"/>
          <w:color w:val="auto"/>
          <w:szCs w:val="20"/>
        </w:rPr>
        <w:t xml:space="preserve">Spoiny obrzeży przed zalaniem zaprawą należy oczyścić i zmyć wodą. </w:t>
      </w:r>
    </w:p>
    <w:p w14:paraId="0E20E9F3" w14:textId="1FBBCBE6" w:rsidR="009A08FD" w:rsidRPr="00EE1758" w:rsidRDefault="009D7DAD" w:rsidP="009A08FD">
      <w:pPr>
        <w:ind w:left="293" w:right="54"/>
        <w:rPr>
          <w:rFonts w:ascii="Arial" w:hAnsi="Arial" w:cs="Arial"/>
          <w:color w:val="auto"/>
          <w:szCs w:val="20"/>
        </w:rPr>
      </w:pPr>
      <w:r w:rsidRPr="00EE1758">
        <w:rPr>
          <w:rFonts w:ascii="Arial" w:hAnsi="Arial" w:cs="Arial"/>
          <w:color w:val="auto"/>
          <w:szCs w:val="20"/>
        </w:rPr>
        <w:t xml:space="preserve">Pielęgnację spoin wypełnionych zaprawą należy wykonać przez polewanie ich wodą. Zasady wypełnienia spoin </w:t>
      </w:r>
      <w:r w:rsidR="009A08FD" w:rsidRPr="00EE1758">
        <w:rPr>
          <w:rFonts w:ascii="Arial" w:hAnsi="Arial" w:cs="Arial"/>
          <w:color w:val="auto"/>
          <w:szCs w:val="20"/>
        </w:rPr>
        <w:t>, jeżeli nie podano w niniejszej specyfikacji  należy przyjąć zgodnie z zapisami pozostałych specyfikacji zamieszczonych do niniejszego postępowania.</w:t>
      </w:r>
    </w:p>
    <w:p w14:paraId="5D4A9C95" w14:textId="74842F8B" w:rsidR="00415D45" w:rsidRPr="00EE1758" w:rsidRDefault="009D7DAD" w:rsidP="009A08FD">
      <w:pPr>
        <w:ind w:right="54"/>
        <w:rPr>
          <w:rFonts w:ascii="Arial" w:hAnsi="Arial" w:cs="Arial"/>
          <w:color w:val="auto"/>
          <w:szCs w:val="20"/>
        </w:rPr>
      </w:pPr>
      <w:r w:rsidRPr="00EE1758">
        <w:rPr>
          <w:rFonts w:ascii="Arial" w:hAnsi="Arial" w:cs="Arial"/>
          <w:color w:val="auto"/>
          <w:szCs w:val="20"/>
        </w:rPr>
        <w:t xml:space="preserve">5.5. Roboty wykończeniowe </w:t>
      </w:r>
    </w:p>
    <w:p w14:paraId="1265D51A" w14:textId="0BC1B1EF" w:rsidR="00415D45" w:rsidRPr="00EE1758" w:rsidRDefault="009D7DAD">
      <w:pPr>
        <w:spacing w:after="38"/>
        <w:ind w:left="-15" w:right="40" w:firstLine="283"/>
        <w:rPr>
          <w:rFonts w:ascii="Arial" w:hAnsi="Arial" w:cs="Arial"/>
          <w:color w:val="auto"/>
          <w:szCs w:val="20"/>
        </w:rPr>
      </w:pPr>
      <w:r w:rsidRPr="00EE1758">
        <w:rPr>
          <w:rFonts w:ascii="Arial" w:hAnsi="Arial" w:cs="Arial"/>
          <w:color w:val="auto"/>
          <w:szCs w:val="20"/>
        </w:rPr>
        <w:t xml:space="preserve">Roboty wykończeniowe powinny być zgodne z dokumentacją </w:t>
      </w:r>
      <w:r w:rsidR="009A08FD" w:rsidRPr="00EE1758">
        <w:rPr>
          <w:rFonts w:ascii="Arial" w:hAnsi="Arial" w:cs="Arial"/>
          <w:color w:val="auto"/>
          <w:szCs w:val="20"/>
        </w:rPr>
        <w:t>zamówienia i specyfikacjami</w:t>
      </w:r>
      <w:r w:rsidRPr="00EE1758">
        <w:rPr>
          <w:rFonts w:ascii="Arial" w:hAnsi="Arial" w:cs="Arial"/>
          <w:color w:val="auto"/>
          <w:szCs w:val="20"/>
        </w:rPr>
        <w:t xml:space="preserve">. Do robót wykończeniowych należą prace związane z dostosowaniem wykonanych robót do istniejących warunków terenowych, takie jak: </w:t>
      </w:r>
    </w:p>
    <w:p w14:paraId="67ACF92B" w14:textId="77777777" w:rsidR="00415D45" w:rsidRPr="00EE1758" w:rsidRDefault="009D7DAD">
      <w:pPr>
        <w:spacing w:after="36"/>
        <w:ind w:left="268" w:right="40" w:hanging="283"/>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odtworzenie elementów czasowo usuniętych, np. ułożenie rozebranego chodnika, wyrównanie terenu pod trawnik przy obrzeżu, </w:t>
      </w:r>
    </w:p>
    <w:p w14:paraId="71DFE5B2" w14:textId="77777777" w:rsidR="00415D45" w:rsidRPr="00EE1758" w:rsidRDefault="009D7DAD">
      <w:pPr>
        <w:spacing w:after="241"/>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roboty porządkujące otoczenie terenu robót. </w:t>
      </w:r>
    </w:p>
    <w:p w14:paraId="357BE044" w14:textId="77777777" w:rsidR="00415D45" w:rsidRPr="00EE1758" w:rsidRDefault="009D7DAD">
      <w:pPr>
        <w:pStyle w:val="Nagwek3"/>
        <w:ind w:left="-5"/>
        <w:rPr>
          <w:rFonts w:ascii="Arial" w:hAnsi="Arial" w:cs="Arial"/>
          <w:color w:val="auto"/>
          <w:szCs w:val="20"/>
        </w:rPr>
      </w:pPr>
      <w:r w:rsidRPr="00EE1758">
        <w:rPr>
          <w:rFonts w:ascii="Arial" w:hAnsi="Arial" w:cs="Arial"/>
          <w:color w:val="auto"/>
          <w:szCs w:val="20"/>
        </w:rPr>
        <w:t xml:space="preserve">6. KONTROLA JAKOŚCI ROBÓT </w:t>
      </w:r>
    </w:p>
    <w:p w14:paraId="6C575B41" w14:textId="77777777" w:rsidR="00415D45" w:rsidRPr="00EE1758" w:rsidRDefault="009D7DAD">
      <w:pPr>
        <w:spacing w:after="142" w:line="259" w:lineRule="auto"/>
        <w:ind w:left="-5" w:right="0"/>
        <w:jc w:val="left"/>
        <w:rPr>
          <w:rFonts w:ascii="Arial" w:hAnsi="Arial" w:cs="Arial"/>
          <w:color w:val="auto"/>
          <w:szCs w:val="20"/>
        </w:rPr>
      </w:pPr>
      <w:r w:rsidRPr="00EE1758">
        <w:rPr>
          <w:rFonts w:ascii="Arial" w:hAnsi="Arial" w:cs="Arial"/>
          <w:b/>
          <w:color w:val="auto"/>
          <w:szCs w:val="20"/>
        </w:rPr>
        <w:t xml:space="preserve">6.1. Ogólne zasady kontroli jakości robót </w:t>
      </w:r>
    </w:p>
    <w:p w14:paraId="670AC8E2" w14:textId="32F799AF" w:rsidR="009A08FD" w:rsidRPr="00EE1758" w:rsidRDefault="009D7DAD" w:rsidP="009A08FD">
      <w:pPr>
        <w:tabs>
          <w:tab w:val="center" w:pos="4699"/>
        </w:tabs>
        <w:ind w:left="-15" w:right="0" w:firstLine="0"/>
        <w:jc w:val="left"/>
        <w:rPr>
          <w:rFonts w:ascii="Arial" w:hAnsi="Arial" w:cs="Arial"/>
          <w:color w:val="auto"/>
          <w:szCs w:val="20"/>
        </w:rPr>
      </w:pPr>
      <w:r w:rsidRPr="00EE1758">
        <w:rPr>
          <w:rFonts w:ascii="Arial" w:hAnsi="Arial" w:cs="Arial"/>
          <w:color w:val="auto"/>
          <w:szCs w:val="20"/>
        </w:rPr>
        <w:t xml:space="preserve"> </w:t>
      </w:r>
      <w:r w:rsidRPr="00EE1758">
        <w:rPr>
          <w:rFonts w:ascii="Arial" w:hAnsi="Arial" w:cs="Arial"/>
          <w:color w:val="auto"/>
          <w:szCs w:val="20"/>
        </w:rPr>
        <w:tab/>
        <w:t xml:space="preserve">Ogólne zasady kontroli jakości robót </w:t>
      </w:r>
      <w:r w:rsidR="009A08FD" w:rsidRPr="00EE1758">
        <w:rPr>
          <w:rFonts w:ascii="Arial" w:hAnsi="Arial" w:cs="Arial"/>
          <w:color w:val="auto"/>
          <w:szCs w:val="20"/>
        </w:rPr>
        <w:t>, jeżeli nie podano w niniejszej specyfikacji  należy przyjąć zgodnie z zapisami pozostałych specyfikacji zamieszczonych do niniejszego postępowania.</w:t>
      </w:r>
    </w:p>
    <w:p w14:paraId="01BFB7B7" w14:textId="77777777" w:rsidR="009A08FD" w:rsidRPr="00EE1758" w:rsidRDefault="009A08FD" w:rsidP="009A08FD">
      <w:pPr>
        <w:tabs>
          <w:tab w:val="center" w:pos="4699"/>
        </w:tabs>
        <w:ind w:left="-15" w:right="0" w:firstLine="0"/>
        <w:jc w:val="left"/>
        <w:rPr>
          <w:rFonts w:ascii="Arial" w:hAnsi="Arial" w:cs="Arial"/>
          <w:color w:val="auto"/>
          <w:szCs w:val="20"/>
        </w:rPr>
      </w:pPr>
    </w:p>
    <w:p w14:paraId="44B87177" w14:textId="23C96F4E" w:rsidR="00415D45" w:rsidRPr="00EE1758" w:rsidRDefault="009D7DAD" w:rsidP="009A08FD">
      <w:pPr>
        <w:tabs>
          <w:tab w:val="center" w:pos="4699"/>
        </w:tabs>
        <w:ind w:left="-15" w:right="0" w:firstLine="0"/>
        <w:jc w:val="left"/>
        <w:rPr>
          <w:rFonts w:ascii="Arial" w:hAnsi="Arial" w:cs="Arial"/>
          <w:color w:val="auto"/>
          <w:szCs w:val="20"/>
        </w:rPr>
      </w:pPr>
      <w:r w:rsidRPr="00EE1758">
        <w:rPr>
          <w:rFonts w:ascii="Arial" w:hAnsi="Arial" w:cs="Arial"/>
          <w:color w:val="auto"/>
          <w:szCs w:val="20"/>
        </w:rPr>
        <w:lastRenderedPageBreak/>
        <w:t xml:space="preserve">6.2. Badania przed przystąpieniem do robót </w:t>
      </w:r>
    </w:p>
    <w:p w14:paraId="72E5BEC4" w14:textId="77777777" w:rsidR="00415D45" w:rsidRPr="00EE1758" w:rsidRDefault="009D7DAD">
      <w:pPr>
        <w:spacing w:after="42"/>
        <w:ind w:left="293" w:right="40"/>
        <w:rPr>
          <w:rFonts w:ascii="Arial" w:hAnsi="Arial" w:cs="Arial"/>
          <w:color w:val="auto"/>
          <w:szCs w:val="20"/>
        </w:rPr>
      </w:pPr>
      <w:r w:rsidRPr="00EE1758">
        <w:rPr>
          <w:rFonts w:ascii="Arial" w:hAnsi="Arial" w:cs="Arial"/>
          <w:color w:val="auto"/>
          <w:szCs w:val="20"/>
        </w:rPr>
        <w:t xml:space="preserve">Przed przystąpieniem do robót Wykonawca powinien: </w:t>
      </w:r>
    </w:p>
    <w:p w14:paraId="72D44B8D" w14:textId="77777777" w:rsidR="00415D45" w:rsidRPr="00EE1758" w:rsidRDefault="009D7DAD">
      <w:pPr>
        <w:spacing w:after="15"/>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uzyskać wymagane dokumenty, dopuszczające wyroby budowlane do obrotu i powszechnego stosowania (aprobaty techniczne, certyfikaty zgodności, deklaracje zgodności, ew. badania materiałów wykonane przez dostawców itp.), </w:t>
      </w: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wykonać badania właściwości materiałów przeznaczonych do wykonania robót, określone przez Zamawiającego, </w:t>
      </w: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sprawdzić cechy zewnętrzne gotowych materiałów prefabrykowanych. </w:t>
      </w:r>
    </w:p>
    <w:p w14:paraId="55636538" w14:textId="77777777" w:rsidR="00415D45" w:rsidRPr="00EE1758" w:rsidRDefault="009D7DAD">
      <w:pPr>
        <w:spacing w:after="112"/>
        <w:ind w:left="293" w:right="40"/>
        <w:rPr>
          <w:rFonts w:ascii="Arial" w:hAnsi="Arial" w:cs="Arial"/>
          <w:color w:val="auto"/>
          <w:szCs w:val="20"/>
        </w:rPr>
      </w:pPr>
      <w:r w:rsidRPr="00EE1758">
        <w:rPr>
          <w:rFonts w:ascii="Arial" w:hAnsi="Arial" w:cs="Arial"/>
          <w:color w:val="auto"/>
          <w:szCs w:val="20"/>
        </w:rPr>
        <w:t xml:space="preserve">Wszystkie dokumenty oraz wyniki badań Wykonawca przedstawia Zamawiającemu do akceptacji. </w:t>
      </w:r>
    </w:p>
    <w:p w14:paraId="612EFF11"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6.3. Badania w czasie robót </w:t>
      </w:r>
    </w:p>
    <w:p w14:paraId="62FC1454" w14:textId="77777777" w:rsidR="00415D45" w:rsidRPr="00EE1758" w:rsidRDefault="009D7DAD">
      <w:pPr>
        <w:ind w:left="293" w:right="40"/>
        <w:rPr>
          <w:rFonts w:ascii="Arial" w:hAnsi="Arial" w:cs="Arial"/>
          <w:color w:val="auto"/>
          <w:szCs w:val="20"/>
        </w:rPr>
      </w:pPr>
      <w:r w:rsidRPr="00EE1758">
        <w:rPr>
          <w:rFonts w:ascii="Arial" w:hAnsi="Arial" w:cs="Arial"/>
          <w:color w:val="auto"/>
          <w:szCs w:val="20"/>
        </w:rPr>
        <w:t xml:space="preserve">Częstotliwość oraz zakres badań i pomiarów, które należy wykonać w czasie robót  podaje tablica 1. </w:t>
      </w:r>
    </w:p>
    <w:p w14:paraId="7BA4BC98" w14:textId="77777777" w:rsidR="00415D45" w:rsidRPr="00EE1758" w:rsidRDefault="009D7DAD">
      <w:pPr>
        <w:spacing w:after="3"/>
        <w:ind w:left="-5" w:right="40"/>
        <w:rPr>
          <w:rFonts w:ascii="Arial" w:hAnsi="Arial" w:cs="Arial"/>
          <w:color w:val="auto"/>
          <w:szCs w:val="20"/>
        </w:rPr>
      </w:pPr>
      <w:r w:rsidRPr="00EE1758">
        <w:rPr>
          <w:rFonts w:ascii="Arial" w:hAnsi="Arial" w:cs="Arial"/>
          <w:color w:val="auto"/>
          <w:szCs w:val="20"/>
        </w:rPr>
        <w:t xml:space="preserve">Tablica 1. Częstotliwość oraz zakres badań i pomiarów w czasie robót </w:t>
      </w:r>
    </w:p>
    <w:tbl>
      <w:tblPr>
        <w:tblStyle w:val="TableGrid"/>
        <w:tblW w:w="7582" w:type="dxa"/>
        <w:tblInd w:w="-70" w:type="dxa"/>
        <w:tblCellMar>
          <w:top w:w="109" w:type="dxa"/>
          <w:left w:w="70" w:type="dxa"/>
          <w:right w:w="32" w:type="dxa"/>
        </w:tblCellMar>
        <w:tblLook w:val="04A0" w:firstRow="1" w:lastRow="0" w:firstColumn="1" w:lastColumn="0" w:noHBand="0" w:noVBand="1"/>
      </w:tblPr>
      <w:tblGrid>
        <w:gridCol w:w="495"/>
        <w:gridCol w:w="3510"/>
        <w:gridCol w:w="1325"/>
        <w:gridCol w:w="2252"/>
      </w:tblGrid>
      <w:tr w:rsidR="00EE1758" w:rsidRPr="00EE1758" w14:paraId="045AEADB" w14:textId="77777777">
        <w:trPr>
          <w:trHeight w:val="622"/>
        </w:trPr>
        <w:tc>
          <w:tcPr>
            <w:tcW w:w="497" w:type="dxa"/>
            <w:tcBorders>
              <w:top w:val="single" w:sz="6" w:space="0" w:color="000000"/>
              <w:left w:val="single" w:sz="6" w:space="0" w:color="000000"/>
              <w:bottom w:val="double" w:sz="6" w:space="0" w:color="000000"/>
              <w:right w:val="single" w:sz="6" w:space="0" w:color="000000"/>
            </w:tcBorders>
            <w:vAlign w:val="center"/>
          </w:tcPr>
          <w:p w14:paraId="79E40A80" w14:textId="77777777" w:rsidR="00415D45" w:rsidRPr="00EE1758" w:rsidRDefault="009D7DAD">
            <w:pPr>
              <w:spacing w:after="0" w:line="259" w:lineRule="auto"/>
              <w:ind w:left="41" w:right="0" w:firstLine="0"/>
              <w:jc w:val="left"/>
              <w:rPr>
                <w:rFonts w:ascii="Arial" w:hAnsi="Arial" w:cs="Arial"/>
                <w:color w:val="auto"/>
                <w:szCs w:val="20"/>
              </w:rPr>
            </w:pPr>
            <w:r w:rsidRPr="00EE1758">
              <w:rPr>
                <w:rFonts w:ascii="Arial" w:hAnsi="Arial" w:cs="Arial"/>
                <w:color w:val="auto"/>
                <w:szCs w:val="20"/>
              </w:rPr>
              <w:t xml:space="preserve">Lp. </w:t>
            </w:r>
          </w:p>
        </w:tc>
        <w:tc>
          <w:tcPr>
            <w:tcW w:w="3542" w:type="dxa"/>
            <w:tcBorders>
              <w:top w:val="single" w:sz="6" w:space="0" w:color="000000"/>
              <w:left w:val="single" w:sz="6" w:space="0" w:color="000000"/>
              <w:bottom w:val="double" w:sz="6" w:space="0" w:color="000000"/>
              <w:right w:val="single" w:sz="6" w:space="0" w:color="000000"/>
            </w:tcBorders>
            <w:vAlign w:val="center"/>
          </w:tcPr>
          <w:p w14:paraId="3C73D74C" w14:textId="77777777" w:rsidR="00415D45" w:rsidRPr="00EE1758" w:rsidRDefault="009D7DAD">
            <w:pPr>
              <w:spacing w:after="0" w:line="259" w:lineRule="auto"/>
              <w:ind w:left="0" w:right="40" w:firstLine="0"/>
              <w:jc w:val="center"/>
              <w:rPr>
                <w:rFonts w:ascii="Arial" w:hAnsi="Arial" w:cs="Arial"/>
                <w:color w:val="auto"/>
                <w:szCs w:val="20"/>
              </w:rPr>
            </w:pPr>
            <w:r w:rsidRPr="00EE1758">
              <w:rPr>
                <w:rFonts w:ascii="Arial" w:hAnsi="Arial" w:cs="Arial"/>
                <w:color w:val="auto"/>
                <w:szCs w:val="20"/>
              </w:rPr>
              <w:t xml:space="preserve">Wyszczególnienie robót </w:t>
            </w:r>
          </w:p>
        </w:tc>
        <w:tc>
          <w:tcPr>
            <w:tcW w:w="1274" w:type="dxa"/>
            <w:tcBorders>
              <w:top w:val="single" w:sz="6" w:space="0" w:color="000000"/>
              <w:left w:val="single" w:sz="6" w:space="0" w:color="000000"/>
              <w:bottom w:val="double" w:sz="6" w:space="0" w:color="000000"/>
              <w:right w:val="single" w:sz="6" w:space="0" w:color="000000"/>
            </w:tcBorders>
          </w:tcPr>
          <w:p w14:paraId="43174FC2" w14:textId="77777777" w:rsidR="00415D45" w:rsidRPr="00EE1758" w:rsidRDefault="009D7DAD">
            <w:pPr>
              <w:spacing w:after="0" w:line="259" w:lineRule="auto"/>
              <w:ind w:left="0" w:right="0" w:firstLine="0"/>
              <w:jc w:val="center"/>
              <w:rPr>
                <w:rFonts w:ascii="Arial" w:hAnsi="Arial" w:cs="Arial"/>
                <w:color w:val="auto"/>
                <w:szCs w:val="20"/>
              </w:rPr>
            </w:pPr>
            <w:r w:rsidRPr="00EE1758">
              <w:rPr>
                <w:rFonts w:ascii="Arial" w:hAnsi="Arial" w:cs="Arial"/>
                <w:color w:val="auto"/>
                <w:szCs w:val="20"/>
              </w:rPr>
              <w:t xml:space="preserve">Częstotliwość badań </w:t>
            </w:r>
          </w:p>
        </w:tc>
        <w:tc>
          <w:tcPr>
            <w:tcW w:w="2268" w:type="dxa"/>
            <w:tcBorders>
              <w:top w:val="single" w:sz="6" w:space="0" w:color="000000"/>
              <w:left w:val="single" w:sz="6" w:space="0" w:color="000000"/>
              <w:bottom w:val="double" w:sz="6" w:space="0" w:color="000000"/>
              <w:right w:val="single" w:sz="6" w:space="0" w:color="000000"/>
            </w:tcBorders>
            <w:vAlign w:val="center"/>
          </w:tcPr>
          <w:p w14:paraId="705B9473"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Wartości dopuszczalne </w:t>
            </w:r>
          </w:p>
        </w:tc>
      </w:tr>
      <w:tr w:rsidR="00EE1758" w:rsidRPr="00EE1758" w14:paraId="372C6821" w14:textId="77777777">
        <w:trPr>
          <w:trHeight w:val="386"/>
        </w:trPr>
        <w:tc>
          <w:tcPr>
            <w:tcW w:w="497" w:type="dxa"/>
            <w:tcBorders>
              <w:top w:val="double" w:sz="6" w:space="0" w:color="000000"/>
              <w:left w:val="single" w:sz="6" w:space="0" w:color="000000"/>
              <w:bottom w:val="single" w:sz="6" w:space="0" w:color="000000"/>
              <w:right w:val="single" w:sz="6" w:space="0" w:color="000000"/>
            </w:tcBorders>
          </w:tcPr>
          <w:p w14:paraId="2EF07667"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1 </w:t>
            </w:r>
          </w:p>
        </w:tc>
        <w:tc>
          <w:tcPr>
            <w:tcW w:w="3542" w:type="dxa"/>
            <w:tcBorders>
              <w:top w:val="double" w:sz="6" w:space="0" w:color="000000"/>
              <w:left w:val="single" w:sz="6" w:space="0" w:color="000000"/>
              <w:bottom w:val="single" w:sz="6" w:space="0" w:color="000000"/>
              <w:right w:val="single" w:sz="6" w:space="0" w:color="000000"/>
            </w:tcBorders>
          </w:tcPr>
          <w:p w14:paraId="59FB12A7"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hAnsi="Arial" w:cs="Arial"/>
                <w:color w:val="auto"/>
                <w:szCs w:val="20"/>
              </w:rPr>
              <w:t xml:space="preserve">Roboty rozbiórkowe </w:t>
            </w:r>
          </w:p>
        </w:tc>
        <w:tc>
          <w:tcPr>
            <w:tcW w:w="1274" w:type="dxa"/>
            <w:tcBorders>
              <w:top w:val="double" w:sz="6" w:space="0" w:color="000000"/>
              <w:left w:val="single" w:sz="6" w:space="0" w:color="000000"/>
              <w:bottom w:val="single" w:sz="6" w:space="0" w:color="000000"/>
              <w:right w:val="single" w:sz="6" w:space="0" w:color="000000"/>
            </w:tcBorders>
          </w:tcPr>
          <w:p w14:paraId="10076437" w14:textId="77777777" w:rsidR="00415D45" w:rsidRPr="00EE1758" w:rsidRDefault="009D7DAD">
            <w:pPr>
              <w:spacing w:after="0" w:line="259" w:lineRule="auto"/>
              <w:ind w:left="0" w:right="38" w:firstLine="0"/>
              <w:jc w:val="center"/>
              <w:rPr>
                <w:rFonts w:ascii="Arial" w:hAnsi="Arial" w:cs="Arial"/>
                <w:color w:val="auto"/>
                <w:szCs w:val="20"/>
              </w:rPr>
            </w:pPr>
            <w:r w:rsidRPr="00EE1758">
              <w:rPr>
                <w:rFonts w:ascii="Arial" w:hAnsi="Arial" w:cs="Arial"/>
                <w:color w:val="auto"/>
                <w:szCs w:val="20"/>
              </w:rPr>
              <w:t xml:space="preserve">1 raz </w:t>
            </w:r>
          </w:p>
        </w:tc>
        <w:tc>
          <w:tcPr>
            <w:tcW w:w="2268" w:type="dxa"/>
            <w:tcBorders>
              <w:top w:val="double" w:sz="6" w:space="0" w:color="000000"/>
              <w:left w:val="single" w:sz="6" w:space="0" w:color="000000"/>
              <w:bottom w:val="single" w:sz="6" w:space="0" w:color="000000"/>
              <w:right w:val="single" w:sz="6" w:space="0" w:color="000000"/>
            </w:tcBorders>
          </w:tcPr>
          <w:p w14:paraId="069C59C4" w14:textId="77777777" w:rsidR="00415D45" w:rsidRPr="00EE1758" w:rsidRDefault="009D7DAD">
            <w:pPr>
              <w:spacing w:after="0" w:line="259" w:lineRule="auto"/>
              <w:ind w:left="0" w:right="39" w:firstLine="0"/>
              <w:jc w:val="center"/>
              <w:rPr>
                <w:rFonts w:ascii="Arial" w:hAnsi="Arial" w:cs="Arial"/>
                <w:color w:val="auto"/>
                <w:szCs w:val="20"/>
              </w:rPr>
            </w:pPr>
            <w:r w:rsidRPr="00EE1758">
              <w:rPr>
                <w:rFonts w:ascii="Arial" w:hAnsi="Arial" w:cs="Arial"/>
                <w:color w:val="auto"/>
                <w:szCs w:val="20"/>
              </w:rPr>
              <w:t xml:space="preserve">Wg </w:t>
            </w:r>
            <w:proofErr w:type="spellStart"/>
            <w:r w:rsidRPr="00EE1758">
              <w:rPr>
                <w:rFonts w:ascii="Arial" w:hAnsi="Arial" w:cs="Arial"/>
                <w:color w:val="auto"/>
                <w:szCs w:val="20"/>
              </w:rPr>
              <w:t>pktu</w:t>
            </w:r>
            <w:proofErr w:type="spellEnd"/>
            <w:r w:rsidRPr="00EE1758">
              <w:rPr>
                <w:rFonts w:ascii="Arial" w:hAnsi="Arial" w:cs="Arial"/>
                <w:color w:val="auto"/>
                <w:szCs w:val="20"/>
              </w:rPr>
              <w:t xml:space="preserve"> 5 </w:t>
            </w:r>
          </w:p>
        </w:tc>
      </w:tr>
      <w:tr w:rsidR="00EE1758" w:rsidRPr="00EE1758" w14:paraId="66454A87" w14:textId="77777777">
        <w:trPr>
          <w:trHeight w:val="370"/>
        </w:trPr>
        <w:tc>
          <w:tcPr>
            <w:tcW w:w="497" w:type="dxa"/>
            <w:tcBorders>
              <w:top w:val="single" w:sz="6" w:space="0" w:color="000000"/>
              <w:left w:val="single" w:sz="6" w:space="0" w:color="000000"/>
              <w:bottom w:val="single" w:sz="6" w:space="0" w:color="000000"/>
              <w:right w:val="single" w:sz="6" w:space="0" w:color="000000"/>
            </w:tcBorders>
          </w:tcPr>
          <w:p w14:paraId="3DA38F1B"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2 </w:t>
            </w:r>
          </w:p>
        </w:tc>
        <w:tc>
          <w:tcPr>
            <w:tcW w:w="3542" w:type="dxa"/>
            <w:tcBorders>
              <w:top w:val="single" w:sz="6" w:space="0" w:color="000000"/>
              <w:left w:val="single" w:sz="6" w:space="0" w:color="000000"/>
              <w:bottom w:val="single" w:sz="6" w:space="0" w:color="000000"/>
              <w:right w:val="single" w:sz="6" w:space="0" w:color="000000"/>
            </w:tcBorders>
          </w:tcPr>
          <w:p w14:paraId="46B5E5D6"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hAnsi="Arial" w:cs="Arial"/>
                <w:color w:val="auto"/>
                <w:szCs w:val="20"/>
              </w:rPr>
              <w:t xml:space="preserve">Podsypka (ew. ława) pod obrzeże </w:t>
            </w:r>
          </w:p>
        </w:tc>
        <w:tc>
          <w:tcPr>
            <w:tcW w:w="1274" w:type="dxa"/>
            <w:tcBorders>
              <w:top w:val="single" w:sz="6" w:space="0" w:color="000000"/>
              <w:left w:val="single" w:sz="6" w:space="0" w:color="000000"/>
              <w:bottom w:val="single" w:sz="6" w:space="0" w:color="000000"/>
              <w:right w:val="single" w:sz="6" w:space="0" w:color="000000"/>
            </w:tcBorders>
          </w:tcPr>
          <w:p w14:paraId="4B3F1337" w14:textId="77777777" w:rsidR="00415D45" w:rsidRPr="00EE1758" w:rsidRDefault="009D7DAD">
            <w:pPr>
              <w:spacing w:after="0" w:line="259" w:lineRule="auto"/>
              <w:ind w:left="50" w:right="0" w:firstLine="0"/>
              <w:jc w:val="left"/>
              <w:rPr>
                <w:rFonts w:ascii="Arial" w:hAnsi="Arial" w:cs="Arial"/>
                <w:color w:val="auto"/>
                <w:szCs w:val="20"/>
              </w:rPr>
            </w:pPr>
            <w:r w:rsidRPr="00EE1758">
              <w:rPr>
                <w:rFonts w:ascii="Arial" w:hAnsi="Arial" w:cs="Arial"/>
                <w:color w:val="auto"/>
                <w:szCs w:val="20"/>
              </w:rPr>
              <w:t xml:space="preserve">Ocena ciągła </w:t>
            </w:r>
          </w:p>
        </w:tc>
        <w:tc>
          <w:tcPr>
            <w:tcW w:w="2268" w:type="dxa"/>
            <w:tcBorders>
              <w:top w:val="single" w:sz="6" w:space="0" w:color="000000"/>
              <w:left w:val="single" w:sz="6" w:space="0" w:color="000000"/>
              <w:bottom w:val="single" w:sz="6" w:space="0" w:color="000000"/>
              <w:right w:val="single" w:sz="6" w:space="0" w:color="000000"/>
            </w:tcBorders>
          </w:tcPr>
          <w:p w14:paraId="4DD101F7"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Jw. </w:t>
            </w:r>
          </w:p>
        </w:tc>
      </w:tr>
      <w:tr w:rsidR="00EE1758" w:rsidRPr="00EE1758" w14:paraId="00C8113F" w14:textId="77777777">
        <w:trPr>
          <w:trHeight w:val="370"/>
        </w:trPr>
        <w:tc>
          <w:tcPr>
            <w:tcW w:w="497" w:type="dxa"/>
            <w:tcBorders>
              <w:top w:val="single" w:sz="6" w:space="0" w:color="000000"/>
              <w:left w:val="single" w:sz="6" w:space="0" w:color="000000"/>
              <w:bottom w:val="single" w:sz="6" w:space="0" w:color="000000"/>
              <w:right w:val="single" w:sz="6" w:space="0" w:color="000000"/>
            </w:tcBorders>
          </w:tcPr>
          <w:p w14:paraId="0B49092B"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3 </w:t>
            </w:r>
          </w:p>
        </w:tc>
        <w:tc>
          <w:tcPr>
            <w:tcW w:w="3542" w:type="dxa"/>
            <w:tcBorders>
              <w:top w:val="single" w:sz="6" w:space="0" w:color="000000"/>
              <w:left w:val="single" w:sz="6" w:space="0" w:color="000000"/>
              <w:bottom w:val="single" w:sz="6" w:space="0" w:color="000000"/>
              <w:right w:val="single" w:sz="6" w:space="0" w:color="000000"/>
            </w:tcBorders>
          </w:tcPr>
          <w:p w14:paraId="0BF16E39"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hAnsi="Arial" w:cs="Arial"/>
                <w:color w:val="auto"/>
                <w:szCs w:val="20"/>
              </w:rPr>
              <w:t xml:space="preserve">Ustawienie obrzeża </w:t>
            </w:r>
          </w:p>
        </w:tc>
        <w:tc>
          <w:tcPr>
            <w:tcW w:w="1274" w:type="dxa"/>
            <w:tcBorders>
              <w:top w:val="single" w:sz="6" w:space="0" w:color="000000"/>
              <w:left w:val="single" w:sz="6" w:space="0" w:color="000000"/>
              <w:bottom w:val="single" w:sz="6" w:space="0" w:color="000000"/>
              <w:right w:val="single" w:sz="6" w:space="0" w:color="000000"/>
            </w:tcBorders>
          </w:tcPr>
          <w:p w14:paraId="481E2BA4"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Jw. </w:t>
            </w:r>
          </w:p>
        </w:tc>
        <w:tc>
          <w:tcPr>
            <w:tcW w:w="2268" w:type="dxa"/>
            <w:tcBorders>
              <w:top w:val="single" w:sz="6" w:space="0" w:color="000000"/>
              <w:left w:val="single" w:sz="6" w:space="0" w:color="000000"/>
              <w:bottom w:val="single" w:sz="6" w:space="0" w:color="000000"/>
              <w:right w:val="single" w:sz="6" w:space="0" w:color="000000"/>
            </w:tcBorders>
          </w:tcPr>
          <w:p w14:paraId="487D0F7D"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Jw. </w:t>
            </w:r>
          </w:p>
        </w:tc>
      </w:tr>
      <w:tr w:rsidR="00EE1758" w:rsidRPr="00EE1758" w14:paraId="67410375" w14:textId="77777777">
        <w:trPr>
          <w:trHeight w:val="370"/>
        </w:trPr>
        <w:tc>
          <w:tcPr>
            <w:tcW w:w="497" w:type="dxa"/>
            <w:tcBorders>
              <w:top w:val="single" w:sz="6" w:space="0" w:color="000000"/>
              <w:left w:val="single" w:sz="6" w:space="0" w:color="000000"/>
              <w:bottom w:val="single" w:sz="6" w:space="0" w:color="000000"/>
              <w:right w:val="single" w:sz="6" w:space="0" w:color="000000"/>
            </w:tcBorders>
          </w:tcPr>
          <w:p w14:paraId="164A4168"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4 </w:t>
            </w:r>
          </w:p>
        </w:tc>
        <w:tc>
          <w:tcPr>
            <w:tcW w:w="3542" w:type="dxa"/>
            <w:tcBorders>
              <w:top w:val="single" w:sz="6" w:space="0" w:color="000000"/>
              <w:left w:val="single" w:sz="6" w:space="0" w:color="000000"/>
              <w:bottom w:val="single" w:sz="6" w:space="0" w:color="000000"/>
              <w:right w:val="single" w:sz="6" w:space="0" w:color="000000"/>
            </w:tcBorders>
          </w:tcPr>
          <w:p w14:paraId="39BBEA01"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hAnsi="Arial" w:cs="Arial"/>
                <w:color w:val="auto"/>
                <w:szCs w:val="20"/>
              </w:rPr>
              <w:t xml:space="preserve">Wypełnienie spoin </w:t>
            </w:r>
          </w:p>
        </w:tc>
        <w:tc>
          <w:tcPr>
            <w:tcW w:w="1274" w:type="dxa"/>
            <w:tcBorders>
              <w:top w:val="single" w:sz="6" w:space="0" w:color="000000"/>
              <w:left w:val="single" w:sz="6" w:space="0" w:color="000000"/>
              <w:bottom w:val="single" w:sz="6" w:space="0" w:color="000000"/>
              <w:right w:val="single" w:sz="6" w:space="0" w:color="000000"/>
            </w:tcBorders>
          </w:tcPr>
          <w:p w14:paraId="790D08AE"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Jw. </w:t>
            </w:r>
          </w:p>
        </w:tc>
        <w:tc>
          <w:tcPr>
            <w:tcW w:w="2268" w:type="dxa"/>
            <w:tcBorders>
              <w:top w:val="single" w:sz="6" w:space="0" w:color="000000"/>
              <w:left w:val="single" w:sz="6" w:space="0" w:color="000000"/>
              <w:bottom w:val="single" w:sz="6" w:space="0" w:color="000000"/>
              <w:right w:val="single" w:sz="6" w:space="0" w:color="000000"/>
            </w:tcBorders>
          </w:tcPr>
          <w:p w14:paraId="0412FB58"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Jw. </w:t>
            </w:r>
          </w:p>
        </w:tc>
      </w:tr>
      <w:tr w:rsidR="00EE1758" w:rsidRPr="00EE1758" w14:paraId="29BD7B42" w14:textId="77777777">
        <w:trPr>
          <w:trHeight w:val="370"/>
        </w:trPr>
        <w:tc>
          <w:tcPr>
            <w:tcW w:w="497" w:type="dxa"/>
            <w:tcBorders>
              <w:top w:val="single" w:sz="6" w:space="0" w:color="000000"/>
              <w:left w:val="single" w:sz="6" w:space="0" w:color="000000"/>
              <w:bottom w:val="single" w:sz="6" w:space="0" w:color="000000"/>
              <w:right w:val="single" w:sz="6" w:space="0" w:color="000000"/>
            </w:tcBorders>
          </w:tcPr>
          <w:p w14:paraId="442E8AF3"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5 </w:t>
            </w:r>
          </w:p>
        </w:tc>
        <w:tc>
          <w:tcPr>
            <w:tcW w:w="3542" w:type="dxa"/>
            <w:tcBorders>
              <w:top w:val="single" w:sz="6" w:space="0" w:color="000000"/>
              <w:left w:val="single" w:sz="6" w:space="0" w:color="000000"/>
              <w:bottom w:val="single" w:sz="6" w:space="0" w:color="000000"/>
              <w:right w:val="single" w:sz="6" w:space="0" w:color="000000"/>
            </w:tcBorders>
          </w:tcPr>
          <w:p w14:paraId="48957840" w14:textId="77777777" w:rsidR="00415D45" w:rsidRPr="00EE1758" w:rsidRDefault="009D7DAD">
            <w:pPr>
              <w:spacing w:after="0" w:line="259" w:lineRule="auto"/>
              <w:ind w:left="0" w:right="0" w:firstLine="0"/>
              <w:jc w:val="left"/>
              <w:rPr>
                <w:rFonts w:ascii="Arial" w:hAnsi="Arial" w:cs="Arial"/>
                <w:color w:val="auto"/>
                <w:szCs w:val="20"/>
              </w:rPr>
            </w:pPr>
            <w:r w:rsidRPr="00EE1758">
              <w:rPr>
                <w:rFonts w:ascii="Arial" w:hAnsi="Arial" w:cs="Arial"/>
                <w:color w:val="auto"/>
                <w:szCs w:val="20"/>
              </w:rPr>
              <w:t xml:space="preserve">Roboty wykończeniowe </w:t>
            </w:r>
          </w:p>
        </w:tc>
        <w:tc>
          <w:tcPr>
            <w:tcW w:w="1274" w:type="dxa"/>
            <w:tcBorders>
              <w:top w:val="single" w:sz="6" w:space="0" w:color="000000"/>
              <w:left w:val="single" w:sz="6" w:space="0" w:color="000000"/>
              <w:bottom w:val="single" w:sz="6" w:space="0" w:color="000000"/>
              <w:right w:val="single" w:sz="6" w:space="0" w:color="000000"/>
            </w:tcBorders>
          </w:tcPr>
          <w:p w14:paraId="2932FF46"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Jw. </w:t>
            </w:r>
          </w:p>
        </w:tc>
        <w:tc>
          <w:tcPr>
            <w:tcW w:w="2268" w:type="dxa"/>
            <w:tcBorders>
              <w:top w:val="single" w:sz="6" w:space="0" w:color="000000"/>
              <w:left w:val="single" w:sz="6" w:space="0" w:color="000000"/>
              <w:bottom w:val="single" w:sz="6" w:space="0" w:color="000000"/>
              <w:right w:val="single" w:sz="6" w:space="0" w:color="000000"/>
            </w:tcBorders>
          </w:tcPr>
          <w:p w14:paraId="2477F9F9" w14:textId="77777777" w:rsidR="00415D45" w:rsidRPr="00EE1758" w:rsidRDefault="009D7DAD">
            <w:pPr>
              <w:spacing w:after="0" w:line="259" w:lineRule="auto"/>
              <w:ind w:left="0" w:right="41" w:firstLine="0"/>
              <w:jc w:val="center"/>
              <w:rPr>
                <w:rFonts w:ascii="Arial" w:hAnsi="Arial" w:cs="Arial"/>
                <w:color w:val="auto"/>
                <w:szCs w:val="20"/>
              </w:rPr>
            </w:pPr>
            <w:r w:rsidRPr="00EE1758">
              <w:rPr>
                <w:rFonts w:ascii="Arial" w:hAnsi="Arial" w:cs="Arial"/>
                <w:color w:val="auto"/>
                <w:szCs w:val="20"/>
              </w:rPr>
              <w:t xml:space="preserve">Jw. </w:t>
            </w:r>
          </w:p>
        </w:tc>
      </w:tr>
    </w:tbl>
    <w:p w14:paraId="652E567C" w14:textId="77777777" w:rsidR="00415D45" w:rsidRPr="00EE1758" w:rsidRDefault="009D7DAD">
      <w:pPr>
        <w:pStyle w:val="Nagwek3"/>
        <w:spacing w:after="104"/>
        <w:ind w:left="-5"/>
        <w:rPr>
          <w:rFonts w:ascii="Arial" w:hAnsi="Arial" w:cs="Arial"/>
          <w:color w:val="auto"/>
          <w:szCs w:val="20"/>
        </w:rPr>
      </w:pPr>
      <w:r w:rsidRPr="00EE1758">
        <w:rPr>
          <w:rFonts w:ascii="Arial" w:hAnsi="Arial" w:cs="Arial"/>
          <w:color w:val="auto"/>
          <w:szCs w:val="20"/>
        </w:rPr>
        <w:t xml:space="preserve">7. OBMIAR ROBÓT </w:t>
      </w:r>
    </w:p>
    <w:p w14:paraId="3DB8C623" w14:textId="77777777" w:rsidR="00415D45" w:rsidRPr="00EE1758" w:rsidRDefault="009D7DAD">
      <w:pPr>
        <w:spacing w:after="101" w:line="259" w:lineRule="auto"/>
        <w:ind w:left="-5" w:right="0"/>
        <w:jc w:val="left"/>
        <w:rPr>
          <w:rFonts w:ascii="Arial" w:hAnsi="Arial" w:cs="Arial"/>
          <w:color w:val="auto"/>
          <w:szCs w:val="20"/>
        </w:rPr>
      </w:pPr>
      <w:r w:rsidRPr="00EE1758">
        <w:rPr>
          <w:rFonts w:ascii="Arial" w:hAnsi="Arial" w:cs="Arial"/>
          <w:b/>
          <w:color w:val="auto"/>
          <w:szCs w:val="20"/>
        </w:rPr>
        <w:t xml:space="preserve">7.1. Ogólne zasady obmiaru robót </w:t>
      </w:r>
    </w:p>
    <w:p w14:paraId="7496068D" w14:textId="28FCB3C8" w:rsidR="00415D45" w:rsidRPr="00EE1758" w:rsidRDefault="009D7DAD">
      <w:pPr>
        <w:spacing w:after="112"/>
        <w:ind w:left="293" w:right="40"/>
        <w:rPr>
          <w:rFonts w:ascii="Arial" w:hAnsi="Arial" w:cs="Arial"/>
          <w:color w:val="auto"/>
          <w:szCs w:val="20"/>
        </w:rPr>
      </w:pPr>
      <w:r w:rsidRPr="00EE1758">
        <w:rPr>
          <w:rFonts w:ascii="Arial" w:hAnsi="Arial" w:cs="Arial"/>
          <w:color w:val="auto"/>
          <w:szCs w:val="20"/>
        </w:rPr>
        <w:t>Ogólne zasady obmiaru robót</w:t>
      </w:r>
      <w:r w:rsidR="009A08FD" w:rsidRPr="00EE1758">
        <w:rPr>
          <w:rFonts w:ascii="Arial" w:hAnsi="Arial" w:cs="Arial"/>
          <w:color w:val="auto"/>
          <w:szCs w:val="20"/>
        </w:rPr>
        <w:t>, jeżeli nie podano w niniejszej specyfikacji  należy przyjąć zgodnie z zapisami pozostałych specyfikacji zamieszczonych do niniejszego postępowania.</w:t>
      </w:r>
    </w:p>
    <w:p w14:paraId="3A864742" w14:textId="77777777" w:rsidR="00415D45" w:rsidRPr="00EE1758" w:rsidRDefault="009D7DAD">
      <w:pPr>
        <w:spacing w:after="142" w:line="259" w:lineRule="auto"/>
        <w:ind w:left="-5" w:right="0"/>
        <w:jc w:val="left"/>
        <w:rPr>
          <w:rFonts w:ascii="Arial" w:hAnsi="Arial" w:cs="Arial"/>
          <w:color w:val="auto"/>
          <w:szCs w:val="20"/>
        </w:rPr>
      </w:pPr>
      <w:r w:rsidRPr="00EE1758">
        <w:rPr>
          <w:rFonts w:ascii="Arial" w:hAnsi="Arial" w:cs="Arial"/>
          <w:b/>
          <w:color w:val="auto"/>
          <w:szCs w:val="20"/>
        </w:rPr>
        <w:t xml:space="preserve">7.2. Jednostka obmiarowa </w:t>
      </w:r>
    </w:p>
    <w:p w14:paraId="4C688884" w14:textId="77777777" w:rsidR="00415D45" w:rsidRPr="00EE1758" w:rsidRDefault="009D7DAD">
      <w:pPr>
        <w:spacing w:after="232"/>
        <w:ind w:left="293" w:right="40"/>
        <w:rPr>
          <w:rFonts w:ascii="Arial" w:hAnsi="Arial" w:cs="Arial"/>
          <w:color w:val="auto"/>
          <w:szCs w:val="20"/>
        </w:rPr>
      </w:pPr>
      <w:r w:rsidRPr="00EE1758">
        <w:rPr>
          <w:rFonts w:ascii="Arial" w:hAnsi="Arial" w:cs="Arial"/>
          <w:color w:val="auto"/>
          <w:szCs w:val="20"/>
        </w:rPr>
        <w:t xml:space="preserve">Jednostką obmiarową jest m (metr) wykonanego przestawienia obrzeża. </w:t>
      </w:r>
    </w:p>
    <w:p w14:paraId="614A0C1D" w14:textId="77777777" w:rsidR="00415D45" w:rsidRPr="00EE1758" w:rsidRDefault="009D7DAD">
      <w:pPr>
        <w:pStyle w:val="Nagwek3"/>
        <w:spacing w:after="101"/>
        <w:ind w:left="-5"/>
        <w:rPr>
          <w:rFonts w:ascii="Arial" w:hAnsi="Arial" w:cs="Arial"/>
          <w:color w:val="auto"/>
          <w:szCs w:val="20"/>
        </w:rPr>
      </w:pPr>
      <w:r w:rsidRPr="00EE1758">
        <w:rPr>
          <w:rFonts w:ascii="Arial" w:hAnsi="Arial" w:cs="Arial"/>
          <w:color w:val="auto"/>
          <w:szCs w:val="20"/>
        </w:rPr>
        <w:t xml:space="preserve">8. ODBIÓR ROBÓT </w:t>
      </w:r>
    </w:p>
    <w:p w14:paraId="0A869D8E" w14:textId="695703E9" w:rsidR="003675C2" w:rsidRPr="00EE1758" w:rsidRDefault="009D7DAD" w:rsidP="003675C2">
      <w:pPr>
        <w:spacing w:after="29"/>
        <w:ind w:left="283" w:right="40" w:firstLine="0"/>
        <w:rPr>
          <w:rFonts w:ascii="Arial" w:hAnsi="Arial" w:cs="Arial"/>
          <w:color w:val="auto"/>
          <w:szCs w:val="20"/>
        </w:rPr>
      </w:pPr>
      <w:r w:rsidRPr="00EE1758">
        <w:rPr>
          <w:rFonts w:ascii="Arial" w:hAnsi="Arial" w:cs="Arial"/>
          <w:color w:val="auto"/>
          <w:szCs w:val="20"/>
        </w:rPr>
        <w:t xml:space="preserve">Ogólne zasady odbioru robót </w:t>
      </w:r>
      <w:r w:rsidR="003675C2" w:rsidRPr="00EE1758">
        <w:rPr>
          <w:rFonts w:ascii="Arial" w:hAnsi="Arial" w:cs="Arial"/>
          <w:color w:val="auto"/>
          <w:szCs w:val="20"/>
        </w:rPr>
        <w:t>, jeżeli nie podano w niniejszej specyfikacji  należy przyjąć zgodnie z zapisami pozostałych specyfikacji zamieszczonych do niniejszego postępowania.</w:t>
      </w:r>
    </w:p>
    <w:p w14:paraId="022CEEE0" w14:textId="72A42F81" w:rsidR="00415D45" w:rsidRPr="00EE1758" w:rsidRDefault="009D7DAD" w:rsidP="003675C2">
      <w:pPr>
        <w:spacing w:after="29"/>
        <w:ind w:left="293" w:right="40"/>
        <w:rPr>
          <w:rFonts w:ascii="Arial" w:hAnsi="Arial" w:cs="Arial"/>
          <w:color w:val="auto"/>
          <w:szCs w:val="20"/>
        </w:rPr>
      </w:pPr>
      <w:r w:rsidRPr="00EE1758">
        <w:rPr>
          <w:rFonts w:ascii="Arial" w:hAnsi="Arial" w:cs="Arial"/>
          <w:color w:val="auto"/>
          <w:szCs w:val="20"/>
        </w:rPr>
        <w:t xml:space="preserve">Roboty uznaje się za wykonane zgodnie z dokumentacją projektową, </w:t>
      </w:r>
      <w:proofErr w:type="spellStart"/>
      <w:r w:rsidRPr="00EE1758">
        <w:rPr>
          <w:rFonts w:ascii="Arial" w:hAnsi="Arial" w:cs="Arial"/>
          <w:color w:val="auto"/>
          <w:szCs w:val="20"/>
        </w:rPr>
        <w:t>STWiOR</w:t>
      </w:r>
      <w:proofErr w:type="spellEnd"/>
      <w:r w:rsidRPr="00EE1758">
        <w:rPr>
          <w:rFonts w:ascii="Arial" w:hAnsi="Arial" w:cs="Arial"/>
          <w:color w:val="auto"/>
          <w:szCs w:val="20"/>
        </w:rPr>
        <w:t xml:space="preserve"> i wymaganiami Zamawiającego, jeżeli wszystkie pomiary i badania z zachowaniem tolerancji według pkt</w:t>
      </w:r>
      <w:r w:rsidR="003675C2" w:rsidRPr="00EE1758">
        <w:rPr>
          <w:rFonts w:ascii="Arial" w:hAnsi="Arial" w:cs="Arial"/>
          <w:color w:val="auto"/>
          <w:szCs w:val="20"/>
        </w:rPr>
        <w:t xml:space="preserve">. </w:t>
      </w:r>
      <w:r w:rsidRPr="00EE1758">
        <w:rPr>
          <w:rFonts w:ascii="Arial" w:hAnsi="Arial" w:cs="Arial"/>
          <w:color w:val="auto"/>
          <w:szCs w:val="20"/>
        </w:rPr>
        <w:t xml:space="preserve">6 dały wyniki pozytywne. </w:t>
      </w:r>
    </w:p>
    <w:p w14:paraId="10D4BADB" w14:textId="77777777" w:rsidR="00415D45" w:rsidRPr="00EE1758" w:rsidRDefault="009D7DAD">
      <w:pPr>
        <w:pStyle w:val="Nagwek3"/>
        <w:ind w:left="-5"/>
        <w:rPr>
          <w:rFonts w:ascii="Arial" w:hAnsi="Arial" w:cs="Arial"/>
          <w:color w:val="auto"/>
          <w:szCs w:val="20"/>
        </w:rPr>
      </w:pPr>
      <w:r w:rsidRPr="00EE1758">
        <w:rPr>
          <w:rFonts w:ascii="Arial" w:hAnsi="Arial" w:cs="Arial"/>
          <w:color w:val="auto"/>
          <w:szCs w:val="20"/>
        </w:rPr>
        <w:t xml:space="preserve">9. PODSTAWA PŁATNOŚCI </w:t>
      </w:r>
    </w:p>
    <w:p w14:paraId="4C110EDE"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9.1. Ogólne ustalenia dotyczące podstawy płatności </w:t>
      </w:r>
    </w:p>
    <w:p w14:paraId="45744B0A" w14:textId="5AF8BE34" w:rsidR="00415D45" w:rsidRPr="00EE1758" w:rsidRDefault="009D7DAD">
      <w:pPr>
        <w:spacing w:after="29"/>
        <w:ind w:left="293" w:right="40"/>
        <w:rPr>
          <w:rFonts w:ascii="Arial" w:hAnsi="Arial" w:cs="Arial"/>
          <w:color w:val="auto"/>
          <w:szCs w:val="20"/>
        </w:rPr>
      </w:pPr>
      <w:r w:rsidRPr="00EE1758">
        <w:rPr>
          <w:rFonts w:ascii="Arial" w:hAnsi="Arial" w:cs="Arial"/>
          <w:color w:val="auto"/>
          <w:szCs w:val="20"/>
        </w:rPr>
        <w:t xml:space="preserve">Ogólne ustalenia dotyczące podstawy płatności podano w umowie. </w:t>
      </w:r>
    </w:p>
    <w:p w14:paraId="5717A825" w14:textId="77777777" w:rsidR="009D7DAD" w:rsidRPr="00EE1758" w:rsidRDefault="009D7DAD">
      <w:pPr>
        <w:spacing w:after="95" w:line="308" w:lineRule="auto"/>
        <w:ind w:left="-15" w:right="40" w:firstLine="283"/>
        <w:rPr>
          <w:rFonts w:ascii="Arial" w:hAnsi="Arial" w:cs="Arial"/>
          <w:color w:val="auto"/>
          <w:szCs w:val="20"/>
        </w:rPr>
      </w:pPr>
      <w:r w:rsidRPr="00EE1758">
        <w:rPr>
          <w:rFonts w:ascii="Arial" w:hAnsi="Arial" w:cs="Arial"/>
          <w:color w:val="auto"/>
          <w:szCs w:val="20"/>
        </w:rPr>
        <w:t xml:space="preserve">Podstawą płatności jest cena jednostkowa skalkulowana przez Wykonawcę za jednostkę obmiarową ustaloną dla danej pozycji kosztorysu. Dla pozycji kosztorysowych wycenionych ryczałtowo podstawą płatności jest wartość (kwota) podana przez Wykonawcę w danej pozycji kosztorysu. Cena jednostkowa lub kwota ryczałtowa pozycji kosztorysowej będzie uwzględniać wszystkie czynności, wymagania i badania składające się na jej wykonanie, określone dla tej roboty w </w:t>
      </w:r>
      <w:proofErr w:type="spellStart"/>
      <w:r w:rsidRPr="00EE1758">
        <w:rPr>
          <w:rFonts w:ascii="Arial" w:hAnsi="Arial" w:cs="Arial"/>
          <w:color w:val="auto"/>
          <w:szCs w:val="20"/>
        </w:rPr>
        <w:t>STWiOR</w:t>
      </w:r>
      <w:proofErr w:type="spellEnd"/>
    </w:p>
    <w:p w14:paraId="196FAA28" w14:textId="13A5B4D9" w:rsidR="00415D45" w:rsidRPr="00EE1758" w:rsidRDefault="009D7DAD">
      <w:pPr>
        <w:spacing w:after="95" w:line="308" w:lineRule="auto"/>
        <w:ind w:left="-15" w:right="40" w:firstLine="283"/>
        <w:rPr>
          <w:rFonts w:ascii="Arial" w:hAnsi="Arial" w:cs="Arial"/>
          <w:color w:val="auto"/>
          <w:szCs w:val="20"/>
        </w:rPr>
      </w:pPr>
      <w:r w:rsidRPr="00EE1758">
        <w:rPr>
          <w:rFonts w:ascii="Arial" w:hAnsi="Arial" w:cs="Arial"/>
          <w:color w:val="auto"/>
          <w:szCs w:val="20"/>
        </w:rPr>
        <w:t xml:space="preserve"> </w:t>
      </w:r>
      <w:r w:rsidRPr="00EE1758">
        <w:rPr>
          <w:rFonts w:ascii="Arial" w:hAnsi="Arial" w:cs="Arial"/>
          <w:b/>
          <w:color w:val="auto"/>
          <w:szCs w:val="20"/>
        </w:rPr>
        <w:t xml:space="preserve">9.2. Cena jednostki obmiarowej </w:t>
      </w:r>
    </w:p>
    <w:p w14:paraId="6BDF8D1B" w14:textId="77777777" w:rsidR="00415D45" w:rsidRPr="00EE1758" w:rsidRDefault="009D7DAD">
      <w:pPr>
        <w:spacing w:after="30"/>
        <w:ind w:left="293" w:right="40"/>
        <w:rPr>
          <w:rFonts w:ascii="Arial" w:hAnsi="Arial" w:cs="Arial"/>
          <w:color w:val="auto"/>
          <w:szCs w:val="20"/>
        </w:rPr>
      </w:pPr>
      <w:r w:rsidRPr="00EE1758">
        <w:rPr>
          <w:rFonts w:ascii="Arial" w:hAnsi="Arial" w:cs="Arial"/>
          <w:color w:val="auto"/>
          <w:szCs w:val="20"/>
        </w:rPr>
        <w:t xml:space="preserve">Cena wykonania  1 m przestawienia obrzeża obejmuje: </w:t>
      </w:r>
    </w:p>
    <w:p w14:paraId="7A353712" w14:textId="77777777" w:rsidR="00415D45" w:rsidRPr="00EE1758" w:rsidRDefault="009D7DAD">
      <w:pPr>
        <w:spacing w:after="3"/>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prace pomiarowe i roboty przygotowawcze, </w:t>
      </w:r>
    </w:p>
    <w:p w14:paraId="668EADE4" w14:textId="77777777" w:rsidR="00415D45" w:rsidRPr="00EE1758" w:rsidRDefault="009D7DAD">
      <w:pPr>
        <w:spacing w:after="9"/>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oznakowanie robót, </w:t>
      </w:r>
    </w:p>
    <w:p w14:paraId="0AB1E384" w14:textId="77777777" w:rsidR="00415D45" w:rsidRPr="00EE1758" w:rsidRDefault="009D7DAD">
      <w:pPr>
        <w:spacing w:after="3"/>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dostarczenie materiałów i sprzętu, </w:t>
      </w:r>
    </w:p>
    <w:p w14:paraId="6571F0B4" w14:textId="77777777" w:rsidR="00415D45" w:rsidRPr="00EE1758" w:rsidRDefault="009D7DAD">
      <w:pPr>
        <w:spacing w:after="9"/>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wykonanie robót rozbiórkowych, </w:t>
      </w:r>
    </w:p>
    <w:p w14:paraId="5F2C1A9B" w14:textId="77777777" w:rsidR="00415D45" w:rsidRPr="00EE1758" w:rsidRDefault="009D7DAD">
      <w:pPr>
        <w:spacing w:after="10"/>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naprawę podsypki (ławy), </w:t>
      </w:r>
    </w:p>
    <w:p w14:paraId="3A0597C2" w14:textId="77777777" w:rsidR="00415D45" w:rsidRPr="00EE1758" w:rsidRDefault="009D7DAD">
      <w:pPr>
        <w:spacing w:after="9"/>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ustawienie obrzeża z wypełnieniem spoin według wymagań specyfikacji, </w:t>
      </w:r>
    </w:p>
    <w:p w14:paraId="039BB317" w14:textId="77777777" w:rsidR="00415D45" w:rsidRPr="00EE1758" w:rsidRDefault="009D7DAD">
      <w:pPr>
        <w:spacing w:after="11"/>
        <w:ind w:left="-5" w:right="40"/>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wykonanie robót wykończeniowych, </w:t>
      </w:r>
    </w:p>
    <w:p w14:paraId="07322305" w14:textId="77777777" w:rsidR="00415D45" w:rsidRPr="00EE1758" w:rsidRDefault="009D7DAD">
      <w:pPr>
        <w:spacing w:after="120"/>
        <w:ind w:left="-5" w:right="3563"/>
        <w:rPr>
          <w:rFonts w:ascii="Arial" w:hAnsi="Arial" w:cs="Arial"/>
          <w:color w:val="auto"/>
          <w:szCs w:val="20"/>
        </w:rPr>
      </w:pPr>
      <w:r w:rsidRPr="00EE1758">
        <w:rPr>
          <w:rFonts w:ascii="Arial" w:eastAsia="Segoe UI Symbol" w:hAnsi="Arial" w:cs="Arial"/>
          <w:color w:val="auto"/>
          <w:szCs w:val="20"/>
        </w:rPr>
        <w:lastRenderedPageBreak/>
        <w:t>−</w:t>
      </w:r>
      <w:r w:rsidRPr="00EE1758">
        <w:rPr>
          <w:rFonts w:ascii="Arial" w:eastAsia="Arial" w:hAnsi="Arial" w:cs="Arial"/>
          <w:color w:val="auto"/>
          <w:szCs w:val="20"/>
        </w:rPr>
        <w:t xml:space="preserve"> </w:t>
      </w:r>
      <w:r w:rsidRPr="00EE1758">
        <w:rPr>
          <w:rFonts w:ascii="Arial" w:hAnsi="Arial" w:cs="Arial"/>
          <w:color w:val="auto"/>
          <w:szCs w:val="20"/>
        </w:rPr>
        <w:t xml:space="preserve">przeprowadzenie pomiarów i badań  wymaganych w  specyfikacji technicznej, </w:t>
      </w: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odwiezienie sprzętu. </w:t>
      </w:r>
    </w:p>
    <w:p w14:paraId="297629FE" w14:textId="77777777" w:rsidR="00415D45" w:rsidRPr="00EE1758" w:rsidRDefault="009D7DAD">
      <w:pPr>
        <w:pStyle w:val="Nagwek4"/>
        <w:ind w:left="-5"/>
        <w:rPr>
          <w:rFonts w:ascii="Arial" w:hAnsi="Arial" w:cs="Arial"/>
          <w:color w:val="auto"/>
          <w:szCs w:val="20"/>
        </w:rPr>
      </w:pPr>
      <w:r w:rsidRPr="00EE1758">
        <w:rPr>
          <w:rFonts w:ascii="Arial" w:hAnsi="Arial" w:cs="Arial"/>
          <w:color w:val="auto"/>
          <w:szCs w:val="20"/>
        </w:rPr>
        <w:t xml:space="preserve">9.3. Sposób rozliczenia robót tymczasowych i prac towarzyszących </w:t>
      </w:r>
    </w:p>
    <w:p w14:paraId="3535D170" w14:textId="77777777" w:rsidR="00415D45" w:rsidRPr="00EE1758" w:rsidRDefault="009D7DAD">
      <w:pPr>
        <w:spacing w:after="41"/>
        <w:ind w:left="293" w:right="40"/>
        <w:rPr>
          <w:rFonts w:ascii="Arial" w:hAnsi="Arial" w:cs="Arial"/>
          <w:color w:val="auto"/>
          <w:szCs w:val="20"/>
        </w:rPr>
      </w:pPr>
      <w:r w:rsidRPr="00EE1758">
        <w:rPr>
          <w:rFonts w:ascii="Arial" w:hAnsi="Arial" w:cs="Arial"/>
          <w:color w:val="auto"/>
          <w:szCs w:val="20"/>
        </w:rPr>
        <w:t xml:space="preserve">Cena wykonania robót określonych niniejszą </w:t>
      </w:r>
      <w:proofErr w:type="spellStart"/>
      <w:r w:rsidRPr="00EE1758">
        <w:rPr>
          <w:rFonts w:ascii="Arial" w:hAnsi="Arial" w:cs="Arial"/>
          <w:color w:val="auto"/>
          <w:szCs w:val="20"/>
        </w:rPr>
        <w:t>STWiOR</w:t>
      </w:r>
      <w:proofErr w:type="spellEnd"/>
      <w:r w:rsidRPr="00EE1758">
        <w:rPr>
          <w:rFonts w:ascii="Arial" w:hAnsi="Arial" w:cs="Arial"/>
          <w:color w:val="auto"/>
          <w:szCs w:val="20"/>
        </w:rPr>
        <w:t xml:space="preserve"> obejmuje: </w:t>
      </w:r>
    </w:p>
    <w:p w14:paraId="6CB07932" w14:textId="77777777" w:rsidR="00415D45" w:rsidRPr="00EE1758" w:rsidRDefault="009D7DAD">
      <w:pPr>
        <w:spacing w:after="42"/>
        <w:ind w:left="268" w:right="40" w:hanging="283"/>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roboty tymczasowe, które są potrzebne do wykonania robót podstawowych, ale nie są przekazywane Zamawiającemu i są usuwane po wykonaniu robót podstawowych, </w:t>
      </w:r>
    </w:p>
    <w:p w14:paraId="49266641" w14:textId="77777777" w:rsidR="00415D45" w:rsidRPr="00EE1758" w:rsidRDefault="009D7DAD">
      <w:pPr>
        <w:spacing w:after="272"/>
        <w:ind w:left="268" w:right="40" w:hanging="283"/>
        <w:rPr>
          <w:rFonts w:ascii="Arial" w:hAnsi="Arial" w:cs="Arial"/>
          <w:color w:val="auto"/>
          <w:szCs w:val="20"/>
        </w:rPr>
      </w:pPr>
      <w:r w:rsidRPr="00EE1758">
        <w:rPr>
          <w:rFonts w:ascii="Arial" w:eastAsia="Segoe UI Symbol" w:hAnsi="Arial" w:cs="Arial"/>
          <w:color w:val="auto"/>
          <w:szCs w:val="20"/>
        </w:rPr>
        <w:t>−</w:t>
      </w:r>
      <w:r w:rsidRPr="00EE1758">
        <w:rPr>
          <w:rFonts w:ascii="Arial" w:eastAsia="Arial" w:hAnsi="Arial" w:cs="Arial"/>
          <w:color w:val="auto"/>
          <w:szCs w:val="20"/>
        </w:rPr>
        <w:t xml:space="preserve"> </w:t>
      </w:r>
      <w:r w:rsidRPr="00EE1758">
        <w:rPr>
          <w:rFonts w:ascii="Arial" w:hAnsi="Arial" w:cs="Arial"/>
          <w:color w:val="auto"/>
          <w:szCs w:val="20"/>
        </w:rPr>
        <w:t xml:space="preserve">prace towarzyszące, które są niezbędne do wykonania robót podstawowych, niezaliczane do robót tymczasowych, jak geodezyjne wytyczenie robót itd. </w:t>
      </w:r>
    </w:p>
    <w:sectPr w:rsidR="00415D45" w:rsidRPr="00EE1758">
      <w:footerReference w:type="even" r:id="rId8"/>
      <w:footerReference w:type="default" r:id="rId9"/>
      <w:footerReference w:type="first" r:id="rId10"/>
      <w:pgSz w:w="11900" w:h="16840"/>
      <w:pgMar w:top="604" w:right="788" w:bottom="1154" w:left="852" w:header="708" w:footer="5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11EB2" w14:textId="77777777" w:rsidR="009D7DAD" w:rsidRDefault="009D7DAD">
      <w:pPr>
        <w:spacing w:after="0" w:line="240" w:lineRule="auto"/>
      </w:pPr>
      <w:r>
        <w:separator/>
      </w:r>
    </w:p>
  </w:endnote>
  <w:endnote w:type="continuationSeparator" w:id="0">
    <w:p w14:paraId="4470B7AD" w14:textId="77777777" w:rsidR="009D7DAD" w:rsidRDefault="009D7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48F54" w14:textId="77777777" w:rsidR="00415D45" w:rsidRDefault="009D7DAD">
    <w:pPr>
      <w:spacing w:after="0" w:line="259" w:lineRule="auto"/>
      <w:ind w:left="0" w:right="56" w:firstLine="0"/>
      <w:jc w:val="right"/>
    </w:pPr>
    <w:r>
      <w:fldChar w:fldCharType="begin"/>
    </w:r>
    <w:r>
      <w:instrText xml:space="preserve"> PAGE   \* MERGEFORMAT </w:instrText>
    </w:r>
    <w:r>
      <w:fldChar w:fldCharType="separate"/>
    </w:r>
    <w:r>
      <w:t>1</w:t>
    </w:r>
    <w:r>
      <w:fldChar w:fldCharType="end"/>
    </w:r>
    <w:r>
      <w:t xml:space="preserve"> </w:t>
    </w:r>
  </w:p>
  <w:p w14:paraId="33DB69BA" w14:textId="77777777" w:rsidR="00415D45" w:rsidRDefault="009D7DAD">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5E708" w14:textId="77777777" w:rsidR="00415D45" w:rsidRDefault="009D7DAD">
    <w:pPr>
      <w:spacing w:after="0" w:line="259" w:lineRule="auto"/>
      <w:ind w:left="0" w:right="56" w:firstLine="0"/>
      <w:jc w:val="right"/>
    </w:pPr>
    <w:r>
      <w:fldChar w:fldCharType="begin"/>
    </w:r>
    <w:r>
      <w:instrText xml:space="preserve"> PAGE   \* MERGEFORMAT </w:instrText>
    </w:r>
    <w:r>
      <w:fldChar w:fldCharType="separate"/>
    </w:r>
    <w:r>
      <w:t>1</w:t>
    </w:r>
    <w:r>
      <w:fldChar w:fldCharType="end"/>
    </w:r>
    <w:r>
      <w:t xml:space="preserve"> </w:t>
    </w:r>
  </w:p>
  <w:p w14:paraId="7F6CE59C" w14:textId="77777777" w:rsidR="00415D45" w:rsidRDefault="009D7DAD">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BFB4D" w14:textId="77777777" w:rsidR="00415D45" w:rsidRDefault="009D7DAD">
    <w:pPr>
      <w:spacing w:after="0" w:line="259" w:lineRule="auto"/>
      <w:ind w:left="0" w:right="56" w:firstLine="0"/>
      <w:jc w:val="right"/>
    </w:pPr>
    <w:r>
      <w:fldChar w:fldCharType="begin"/>
    </w:r>
    <w:r>
      <w:instrText xml:space="preserve"> PAGE   \* MERGEFORMAT </w:instrText>
    </w:r>
    <w:r>
      <w:fldChar w:fldCharType="separate"/>
    </w:r>
    <w:r>
      <w:t>1</w:t>
    </w:r>
    <w:r>
      <w:fldChar w:fldCharType="end"/>
    </w:r>
    <w:r>
      <w:t xml:space="preserve"> </w:t>
    </w:r>
  </w:p>
  <w:p w14:paraId="7D247942" w14:textId="77777777" w:rsidR="00415D45" w:rsidRDefault="009D7DAD">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DE5A5" w14:textId="77777777" w:rsidR="009D7DAD" w:rsidRDefault="009D7DAD">
      <w:pPr>
        <w:spacing w:after="0" w:line="240" w:lineRule="auto"/>
      </w:pPr>
      <w:r>
        <w:separator/>
      </w:r>
    </w:p>
  </w:footnote>
  <w:footnote w:type="continuationSeparator" w:id="0">
    <w:p w14:paraId="1ABD8543" w14:textId="77777777" w:rsidR="009D7DAD" w:rsidRDefault="009D7D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846E1"/>
    <w:multiLevelType w:val="hybridMultilevel"/>
    <w:tmpl w:val="B76C44CE"/>
    <w:lvl w:ilvl="0" w:tplc="FF9CCFFC">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7AE62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A18B88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19A125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3F4912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BB0BA4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B24C58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A38641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828E3B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419256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D45"/>
    <w:rsid w:val="003675C2"/>
    <w:rsid w:val="003A35DC"/>
    <w:rsid w:val="00415D45"/>
    <w:rsid w:val="004E4B7C"/>
    <w:rsid w:val="00704786"/>
    <w:rsid w:val="00790340"/>
    <w:rsid w:val="008308B5"/>
    <w:rsid w:val="009A08FD"/>
    <w:rsid w:val="009D7DAD"/>
    <w:rsid w:val="00DF6B3F"/>
    <w:rsid w:val="00E9514D"/>
    <w:rsid w:val="00EE17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43A91"/>
  <w15:docId w15:val="{FF7EE833-711E-4E68-AD10-A73C9882F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52" w:line="255" w:lineRule="auto"/>
      <w:ind w:left="10" w:right="55" w:hanging="10"/>
      <w:jc w:val="both"/>
    </w:pPr>
    <w:rPr>
      <w:rFonts w:ascii="Times New Roman" w:eastAsia="Times New Roman" w:hAnsi="Times New Roman" w:cs="Times New Roman"/>
      <w:color w:val="000000"/>
      <w:sz w:val="20"/>
    </w:rPr>
  </w:style>
  <w:style w:type="paragraph" w:styleId="Nagwek1">
    <w:name w:val="heading 1"/>
    <w:next w:val="Normalny"/>
    <w:link w:val="Nagwek1Znak"/>
    <w:uiPriority w:val="9"/>
    <w:qFormat/>
    <w:pPr>
      <w:keepNext/>
      <w:keepLines/>
      <w:spacing w:after="0"/>
      <w:ind w:right="28"/>
      <w:jc w:val="center"/>
      <w:outlineLvl w:val="0"/>
    </w:pPr>
    <w:rPr>
      <w:rFonts w:ascii="Calibri" w:eastAsia="Calibri" w:hAnsi="Calibri" w:cs="Calibri"/>
      <w:b/>
      <w:color w:val="000000"/>
      <w:sz w:val="36"/>
    </w:rPr>
  </w:style>
  <w:style w:type="paragraph" w:styleId="Nagwek2">
    <w:name w:val="heading 2"/>
    <w:next w:val="Normalny"/>
    <w:link w:val="Nagwek2Znak"/>
    <w:uiPriority w:val="9"/>
    <w:unhideWhenUsed/>
    <w:qFormat/>
    <w:pPr>
      <w:keepNext/>
      <w:keepLines/>
      <w:spacing w:after="0"/>
      <w:ind w:left="10" w:right="31" w:hanging="10"/>
      <w:jc w:val="center"/>
      <w:outlineLvl w:val="1"/>
    </w:pPr>
    <w:rPr>
      <w:rFonts w:ascii="Calibri" w:eastAsia="Calibri" w:hAnsi="Calibri" w:cs="Calibri"/>
      <w:b/>
      <w:color w:val="000000"/>
      <w:sz w:val="28"/>
    </w:rPr>
  </w:style>
  <w:style w:type="paragraph" w:styleId="Nagwek3">
    <w:name w:val="heading 3"/>
    <w:next w:val="Normalny"/>
    <w:link w:val="Nagwek3Znak"/>
    <w:uiPriority w:val="9"/>
    <w:unhideWhenUsed/>
    <w:qFormat/>
    <w:pPr>
      <w:keepNext/>
      <w:keepLines/>
      <w:spacing w:after="142"/>
      <w:ind w:left="10" w:hanging="10"/>
      <w:outlineLvl w:val="2"/>
    </w:pPr>
    <w:rPr>
      <w:rFonts w:ascii="Times New Roman" w:eastAsia="Times New Roman" w:hAnsi="Times New Roman" w:cs="Times New Roman"/>
      <w:b/>
      <w:color w:val="000000"/>
      <w:sz w:val="20"/>
    </w:rPr>
  </w:style>
  <w:style w:type="paragraph" w:styleId="Nagwek4">
    <w:name w:val="heading 4"/>
    <w:next w:val="Normalny"/>
    <w:link w:val="Nagwek4Znak"/>
    <w:uiPriority w:val="9"/>
    <w:unhideWhenUsed/>
    <w:qFormat/>
    <w:pPr>
      <w:keepNext/>
      <w:keepLines/>
      <w:spacing w:after="142"/>
      <w:ind w:left="10" w:hanging="10"/>
      <w:outlineLvl w:val="3"/>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libri" w:eastAsia="Calibri" w:hAnsi="Calibri" w:cs="Calibri"/>
      <w:b/>
      <w:color w:val="000000"/>
      <w:sz w:val="28"/>
    </w:rPr>
  </w:style>
  <w:style w:type="character" w:customStyle="1" w:styleId="Nagwek1Znak">
    <w:name w:val="Nagłówek 1 Znak"/>
    <w:link w:val="Nagwek1"/>
    <w:rPr>
      <w:rFonts w:ascii="Calibri" w:eastAsia="Calibri" w:hAnsi="Calibri" w:cs="Calibri"/>
      <w:b/>
      <w:color w:val="000000"/>
      <w:sz w:val="36"/>
    </w:rPr>
  </w:style>
  <w:style w:type="character" w:customStyle="1" w:styleId="Nagwek3Znak">
    <w:name w:val="Nagłówek 3 Znak"/>
    <w:link w:val="Nagwek3"/>
    <w:rPr>
      <w:rFonts w:ascii="Times New Roman" w:eastAsia="Times New Roman" w:hAnsi="Times New Roman" w:cs="Times New Roman"/>
      <w:b/>
      <w:color w:val="000000"/>
      <w:sz w:val="20"/>
    </w:rPr>
  </w:style>
  <w:style w:type="character" w:customStyle="1" w:styleId="Nagwek4Znak">
    <w:name w:val="Nagłówek 4 Znak"/>
    <w:link w:val="Nagwek4"/>
    <w:rPr>
      <w:rFonts w:ascii="Times New Roman" w:eastAsia="Times New Roman" w:hAnsi="Times New Roman" w:cs="Times New Roman"/>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760BD-604C-44E2-A154-806CEDA1A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1911</Words>
  <Characters>11472</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Załącznik nr 4 c - STWiOR Remont obrzeży</vt:lpstr>
    </vt:vector>
  </TitlesOfParts>
  <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c - STWiOR Remont obrzeży</dc:title>
  <dc:subject/>
  <dc:creator>niedzwiecka-reszczyk</dc:creator>
  <cp:keywords/>
  <cp:lastModifiedBy>Sylwia Glezner</cp:lastModifiedBy>
  <cp:revision>4</cp:revision>
  <dcterms:created xsi:type="dcterms:W3CDTF">2024-07-26T10:57:00Z</dcterms:created>
  <dcterms:modified xsi:type="dcterms:W3CDTF">2024-09-30T09:58:00Z</dcterms:modified>
</cp:coreProperties>
</file>